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902D2" w14:textId="306DCA68" w:rsidR="00610A80" w:rsidRPr="00AF35E1" w:rsidRDefault="00226E70" w:rsidP="00610A80">
      <w:pPr>
        <w:pStyle w:val="a4"/>
        <w:contextualSpacing/>
        <w:rPr>
          <w:rFonts w:cs="Times New Roman"/>
          <w:i/>
          <w:sz w:val="24"/>
          <w:lang w:val="kk-KZ"/>
        </w:rPr>
      </w:pPr>
      <w:r>
        <w:rPr>
          <w:rFonts w:cs="Times New Roman"/>
          <w:b/>
          <w:szCs w:val="28"/>
          <w:lang w:val="kk-KZ"/>
        </w:rPr>
        <w:t xml:space="preserve"> </w:t>
      </w:r>
      <w:r w:rsidR="00AF35E1">
        <w:rPr>
          <w:rFonts w:cs="Times New Roman"/>
          <w:b/>
          <w:szCs w:val="28"/>
          <w:lang w:val="kk-KZ"/>
        </w:rPr>
        <w:tab/>
      </w:r>
      <w:r w:rsidR="00610A80" w:rsidRPr="00AF35E1">
        <w:rPr>
          <w:rFonts w:cs="Times New Roman"/>
          <w:i/>
          <w:sz w:val="24"/>
          <w:lang w:val="kk-KZ"/>
        </w:rPr>
        <w:t>Вид спора: налоговые споры</w:t>
      </w:r>
    </w:p>
    <w:p w14:paraId="1F8DE16C" w14:textId="7EFAB4C5" w:rsidR="00610A80" w:rsidRPr="00AF35E1" w:rsidRDefault="00610A80" w:rsidP="00610A80">
      <w:pPr>
        <w:pStyle w:val="a4"/>
        <w:contextualSpacing/>
        <w:rPr>
          <w:rFonts w:cs="Times New Roman"/>
          <w:i/>
          <w:sz w:val="24"/>
          <w:lang w:val="kk-KZ"/>
        </w:rPr>
      </w:pPr>
      <w:r w:rsidRPr="00AF35E1">
        <w:rPr>
          <w:rFonts w:cs="Times New Roman"/>
          <w:i/>
          <w:sz w:val="24"/>
          <w:lang w:val="kk-KZ"/>
        </w:rPr>
        <w:t xml:space="preserve"> </w:t>
      </w:r>
      <w:r w:rsidR="00AF35E1" w:rsidRPr="00AF35E1">
        <w:rPr>
          <w:rFonts w:cs="Times New Roman"/>
          <w:i/>
          <w:sz w:val="24"/>
          <w:lang w:val="kk-KZ"/>
        </w:rPr>
        <w:tab/>
      </w:r>
      <w:r w:rsidRPr="00AF35E1">
        <w:rPr>
          <w:rFonts w:cs="Times New Roman"/>
          <w:i/>
          <w:sz w:val="24"/>
          <w:lang w:val="kk-KZ"/>
        </w:rPr>
        <w:t xml:space="preserve">Категория налогоплательщика: юридическое лицо </w:t>
      </w:r>
    </w:p>
    <w:p w14:paraId="210DA961" w14:textId="065AE452" w:rsidR="00610A80" w:rsidRPr="00AF35E1" w:rsidRDefault="00610A80" w:rsidP="00AF35E1">
      <w:pPr>
        <w:pStyle w:val="a4"/>
        <w:ind w:firstLine="708"/>
        <w:contextualSpacing/>
        <w:rPr>
          <w:rFonts w:cs="Times New Roman"/>
          <w:i/>
          <w:sz w:val="24"/>
          <w:lang w:val="kk-KZ"/>
        </w:rPr>
      </w:pPr>
      <w:r w:rsidRPr="00AF35E1">
        <w:rPr>
          <w:rFonts w:cs="Times New Roman"/>
          <w:i/>
          <w:sz w:val="24"/>
          <w:lang w:val="kk-KZ"/>
        </w:rPr>
        <w:t>Вид налога: НДС</w:t>
      </w:r>
    </w:p>
    <w:p w14:paraId="2427AA1C" w14:textId="77777777" w:rsidR="00610A80" w:rsidRPr="00BB07C5" w:rsidRDefault="00610A80" w:rsidP="00610A80">
      <w:pPr>
        <w:pStyle w:val="a4"/>
        <w:contextualSpacing/>
        <w:rPr>
          <w:rFonts w:cs="Times New Roman"/>
          <w:b/>
          <w:szCs w:val="28"/>
          <w:lang w:val="kk-KZ"/>
        </w:rPr>
      </w:pPr>
      <w:bookmarkStart w:id="0" w:name="_GoBack"/>
      <w:bookmarkEnd w:id="0"/>
    </w:p>
    <w:p w14:paraId="20B5ACAC" w14:textId="0B43237C" w:rsidR="00610A80" w:rsidRPr="00BB07C5" w:rsidRDefault="00610A80" w:rsidP="00610A80">
      <w:pPr>
        <w:pStyle w:val="a4"/>
        <w:ind w:firstLine="851"/>
        <w:contextualSpacing/>
        <w:jc w:val="both"/>
        <w:rPr>
          <w:rFonts w:cs="Times New Roman"/>
          <w:szCs w:val="28"/>
          <w:lang w:val="kk-KZ"/>
        </w:rPr>
      </w:pPr>
      <w:r w:rsidRPr="00BB07C5">
        <w:rPr>
          <w:rFonts w:cs="Times New Roman"/>
          <w:szCs w:val="28"/>
          <w:lang w:val="kk-KZ"/>
        </w:rPr>
        <w:t>Министерством финансов Республики Казахстан (далее-уполномоченный орган) получена апелляционная жалоба Компании «</w:t>
      </w:r>
      <w:r w:rsidR="00B820DA" w:rsidRPr="00BB07C5">
        <w:rPr>
          <w:rFonts w:cs="Times New Roman"/>
          <w:szCs w:val="28"/>
          <w:lang w:val="en-US"/>
        </w:rPr>
        <w:t>J</w:t>
      </w:r>
      <w:r w:rsidRPr="00BB07C5">
        <w:rPr>
          <w:rFonts w:cs="Times New Roman"/>
          <w:szCs w:val="28"/>
          <w:lang w:val="kk-KZ"/>
        </w:rPr>
        <w:t>» на уведомление о результатах проверки территориального Департамента государственных дох</w:t>
      </w:r>
      <w:r w:rsidR="001D53E7" w:rsidRPr="00BB07C5">
        <w:rPr>
          <w:rFonts w:cs="Times New Roman"/>
          <w:szCs w:val="28"/>
          <w:lang w:val="kk-KZ"/>
        </w:rPr>
        <w:t xml:space="preserve">одов (далее – налоговый орган) по вопросам подтверждения достоверности сумм налога на добавленную стоимость </w:t>
      </w:r>
      <w:r w:rsidRPr="00BB07C5">
        <w:rPr>
          <w:rFonts w:cs="Times New Roman"/>
          <w:szCs w:val="28"/>
          <w:lang w:val="kk-KZ"/>
        </w:rPr>
        <w:t>(НДС).</w:t>
      </w:r>
    </w:p>
    <w:p w14:paraId="74ADF44F" w14:textId="6BF097FD" w:rsidR="0036567D" w:rsidRPr="00BB07C5" w:rsidRDefault="00610A80" w:rsidP="00610A80">
      <w:pPr>
        <w:pStyle w:val="a4"/>
        <w:ind w:firstLine="851"/>
        <w:contextualSpacing/>
        <w:jc w:val="both"/>
        <w:rPr>
          <w:rFonts w:cs="Times New Roman"/>
          <w:color w:val="000000"/>
          <w:szCs w:val="28"/>
          <w:lang w:val="ru-RU"/>
        </w:rPr>
      </w:pPr>
      <w:r w:rsidRPr="00BB07C5">
        <w:rPr>
          <w:rFonts w:cs="Times New Roman"/>
          <w:szCs w:val="28"/>
          <w:lang w:val="kk-KZ"/>
        </w:rPr>
        <w:t xml:space="preserve">Как следует из материалов дела, органом государственных доходов </w:t>
      </w:r>
      <w:r w:rsidR="0036567D" w:rsidRPr="00BB07C5">
        <w:rPr>
          <w:rFonts w:cs="Times New Roman"/>
          <w:color w:val="000000"/>
          <w:szCs w:val="28"/>
        </w:rPr>
        <w:t>проведена тематическая налоговая проверка</w:t>
      </w:r>
      <w:r w:rsidR="00DE30FC" w:rsidRPr="00BB07C5">
        <w:rPr>
          <w:rFonts w:cs="Times New Roman"/>
          <w:color w:val="000000"/>
          <w:szCs w:val="28"/>
          <w:lang w:val="kk-KZ"/>
        </w:rPr>
        <w:t xml:space="preserve"> Товарищества</w:t>
      </w:r>
      <w:r w:rsidR="004C0023" w:rsidRPr="00BB07C5">
        <w:rPr>
          <w:rFonts w:cs="Times New Roman"/>
          <w:color w:val="000000"/>
          <w:szCs w:val="28"/>
        </w:rPr>
        <w:t xml:space="preserve"> </w:t>
      </w:r>
      <w:r w:rsidR="0036567D" w:rsidRPr="00BB07C5">
        <w:rPr>
          <w:rFonts w:cs="Times New Roman"/>
          <w:color w:val="000000"/>
          <w:szCs w:val="28"/>
        </w:rPr>
        <w:t xml:space="preserve">по вопросам подтверждения достоверности сумм налога на добавленную стоимость (НДС), предъявленных к возврату, а также по вопросам исполнения налогового обязательства по НДС за период </w:t>
      </w:r>
      <w:r w:rsidR="00DE30FC" w:rsidRPr="00BB07C5">
        <w:rPr>
          <w:rFonts w:cs="Times New Roman"/>
          <w:color w:val="000000"/>
          <w:szCs w:val="28"/>
          <w:lang w:val="kk-KZ"/>
        </w:rPr>
        <w:t xml:space="preserve">с </w:t>
      </w:r>
      <w:r w:rsidR="00DE30FC" w:rsidRPr="00BB07C5">
        <w:rPr>
          <w:rFonts w:cs="Times New Roman"/>
          <w:color w:val="000000"/>
          <w:szCs w:val="28"/>
        </w:rPr>
        <w:t xml:space="preserve">01.07.2023г. по 31.03.2025г., по результатам которой вынесено уведомление о сумме превышения НДС, относимого в зачет, над суммой начисленного налога, не подтвержденной к возврату, не подлежащей уплате в бюджет, в размере 4 774,8 </w:t>
      </w:r>
      <w:proofErr w:type="spellStart"/>
      <w:r w:rsidR="00DE30FC" w:rsidRPr="00BB07C5">
        <w:rPr>
          <w:rFonts w:cs="Times New Roman"/>
          <w:color w:val="000000"/>
          <w:szCs w:val="28"/>
        </w:rPr>
        <w:t>тыс.тенге</w:t>
      </w:r>
      <w:proofErr w:type="spellEnd"/>
      <w:r w:rsidR="00DE30FC" w:rsidRPr="00BB07C5">
        <w:rPr>
          <w:rFonts w:cs="Times New Roman"/>
          <w:color w:val="000000"/>
          <w:szCs w:val="28"/>
        </w:rPr>
        <w:t>.</w:t>
      </w:r>
      <w:r w:rsidRPr="00BB07C5">
        <w:rPr>
          <w:rFonts w:cs="Times New Roman"/>
          <w:color w:val="000000"/>
          <w:szCs w:val="28"/>
          <w:lang w:val="ru-RU"/>
        </w:rPr>
        <w:t xml:space="preserve"> </w:t>
      </w:r>
    </w:p>
    <w:p w14:paraId="508272E2" w14:textId="023C1E92" w:rsidR="00610A80" w:rsidRPr="00BB07C5" w:rsidRDefault="00DE30FC" w:rsidP="006033D6">
      <w:pPr>
        <w:pStyle w:val="a4"/>
        <w:ind w:firstLine="709"/>
        <w:contextualSpacing/>
        <w:jc w:val="both"/>
        <w:rPr>
          <w:rFonts w:cs="Times New Roman"/>
          <w:color w:val="000000"/>
          <w:szCs w:val="28"/>
          <w:lang w:val="ru-RU"/>
        </w:rPr>
      </w:pPr>
      <w:r w:rsidRPr="00BB07C5">
        <w:rPr>
          <w:rFonts w:cs="Times New Roman"/>
          <w:color w:val="000000"/>
          <w:szCs w:val="28"/>
          <w:lang w:val="kk-KZ"/>
        </w:rPr>
        <w:t>Товарищества</w:t>
      </w:r>
      <w:r w:rsidRPr="00BB07C5">
        <w:rPr>
          <w:rFonts w:cs="Times New Roman"/>
          <w:color w:val="000000"/>
          <w:szCs w:val="28"/>
        </w:rPr>
        <w:t xml:space="preserve"> </w:t>
      </w:r>
      <w:r w:rsidR="00610A80" w:rsidRPr="00BB07C5">
        <w:rPr>
          <w:rFonts w:cs="Times New Roman"/>
          <w:color w:val="000000"/>
          <w:szCs w:val="28"/>
          <w:lang w:val="ru-RU"/>
        </w:rPr>
        <w:t>«</w:t>
      </w:r>
      <w:r w:rsidRPr="00BB07C5">
        <w:rPr>
          <w:rFonts w:cs="Times New Roman"/>
          <w:color w:val="000000"/>
          <w:szCs w:val="28"/>
          <w:lang w:val="en-US"/>
        </w:rPr>
        <w:t>J</w:t>
      </w:r>
      <w:r w:rsidR="00610A80" w:rsidRPr="00BB07C5">
        <w:rPr>
          <w:rFonts w:cs="Times New Roman"/>
          <w:color w:val="000000"/>
          <w:szCs w:val="28"/>
          <w:lang w:val="ru-RU"/>
        </w:rPr>
        <w:t>», не согласившись с выводами налогового органа, обратилась с апелляционной жалобой, в которой просит отменить решение налогового органа.</w:t>
      </w:r>
    </w:p>
    <w:p w14:paraId="7EEE54F1" w14:textId="50B59789" w:rsidR="00610A80" w:rsidRPr="00BB07C5" w:rsidRDefault="00610A80" w:rsidP="00610A80">
      <w:pPr>
        <w:pStyle w:val="a4"/>
        <w:ind w:firstLine="709"/>
        <w:contextualSpacing/>
        <w:jc w:val="both"/>
        <w:rPr>
          <w:rFonts w:cs="Times New Roman"/>
          <w:szCs w:val="28"/>
        </w:rPr>
      </w:pPr>
      <w:r w:rsidRPr="00BB07C5">
        <w:rPr>
          <w:rFonts w:cs="Times New Roman"/>
          <w:szCs w:val="28"/>
        </w:rPr>
        <w:t xml:space="preserve">Основанием для начисления обжалуемой суммы налога и соответствующей суммы пени явилось </w:t>
      </w:r>
      <w:r w:rsidRPr="00BB07C5">
        <w:rPr>
          <w:rFonts w:cs="Times New Roman"/>
          <w:szCs w:val="28"/>
          <w:lang w:val="kk-KZ"/>
        </w:rPr>
        <w:t>нарушение</w:t>
      </w:r>
      <w:r w:rsidRPr="00BB07C5">
        <w:rPr>
          <w:rFonts w:cs="Times New Roman"/>
          <w:szCs w:val="28"/>
        </w:rPr>
        <w:t xml:space="preserve"> пункт</w:t>
      </w:r>
      <w:r w:rsidRPr="00BB07C5">
        <w:rPr>
          <w:rFonts w:cs="Times New Roman"/>
          <w:szCs w:val="28"/>
          <w:lang w:val="kk-KZ"/>
        </w:rPr>
        <w:t>а</w:t>
      </w:r>
      <w:r w:rsidRPr="00BB07C5">
        <w:rPr>
          <w:rFonts w:cs="Times New Roman"/>
          <w:szCs w:val="28"/>
        </w:rPr>
        <w:t xml:space="preserve"> 12 статьи 152 Налогового кодекса и пункт</w:t>
      </w:r>
      <w:r w:rsidRPr="00BB07C5">
        <w:rPr>
          <w:rFonts w:cs="Times New Roman"/>
          <w:szCs w:val="28"/>
          <w:lang w:val="kk-KZ"/>
        </w:rPr>
        <w:t>а</w:t>
      </w:r>
      <w:r w:rsidRPr="00BB07C5">
        <w:rPr>
          <w:rFonts w:cs="Times New Roman"/>
          <w:szCs w:val="28"/>
        </w:rPr>
        <w:t xml:space="preserve"> 47 </w:t>
      </w:r>
      <w:r w:rsidRPr="00BB07C5">
        <w:rPr>
          <w:szCs w:val="28"/>
        </w:rPr>
        <w:t>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 от 19.03.2018г. №391</w:t>
      </w:r>
      <w:r w:rsidRPr="00BB07C5">
        <w:rPr>
          <w:szCs w:val="28"/>
          <w:lang w:val="ru-RU"/>
        </w:rPr>
        <w:t xml:space="preserve"> (далее – </w:t>
      </w:r>
      <w:r w:rsidRPr="00BB07C5">
        <w:rPr>
          <w:rFonts w:cs="Times New Roman"/>
          <w:szCs w:val="28"/>
        </w:rPr>
        <w:t>Правил</w:t>
      </w:r>
      <w:r w:rsidRPr="00BB07C5">
        <w:rPr>
          <w:rFonts w:cs="Times New Roman"/>
          <w:szCs w:val="28"/>
          <w:lang w:val="ru-RU"/>
        </w:rPr>
        <w:t>а</w:t>
      </w:r>
      <w:r w:rsidRPr="00BB07C5">
        <w:rPr>
          <w:rFonts w:cs="Times New Roman"/>
          <w:szCs w:val="28"/>
        </w:rPr>
        <w:t xml:space="preserve"> №391</w:t>
      </w:r>
      <w:r w:rsidRPr="00BB07C5">
        <w:rPr>
          <w:rFonts w:cs="Times New Roman"/>
          <w:szCs w:val="28"/>
          <w:lang w:val="ru-RU"/>
        </w:rPr>
        <w:t>)</w:t>
      </w:r>
      <w:r w:rsidRPr="00BB07C5">
        <w:rPr>
          <w:rFonts w:cs="Times New Roman"/>
          <w:szCs w:val="28"/>
        </w:rPr>
        <w:t xml:space="preserve">, не подлежит возврату превышение НДС в сумме </w:t>
      </w:r>
      <w:r w:rsidR="00F00FCF" w:rsidRPr="00BB07C5">
        <w:rPr>
          <w:rFonts w:cs="Times New Roman"/>
          <w:szCs w:val="28"/>
        </w:rPr>
        <w:t>4 774,8</w:t>
      </w:r>
      <w:r w:rsidR="00F00FCF" w:rsidRPr="00BB07C5">
        <w:rPr>
          <w:rFonts w:cs="Times New Roman"/>
          <w:szCs w:val="28"/>
          <w:lang w:val="kk-KZ"/>
        </w:rPr>
        <w:t xml:space="preserve"> </w:t>
      </w:r>
      <w:proofErr w:type="spellStart"/>
      <w:r w:rsidRPr="00BB07C5">
        <w:rPr>
          <w:rFonts w:cs="Times New Roman"/>
          <w:szCs w:val="28"/>
        </w:rPr>
        <w:t>тыс.тенге</w:t>
      </w:r>
      <w:proofErr w:type="spellEnd"/>
      <w:r w:rsidRPr="00BB07C5">
        <w:rPr>
          <w:rFonts w:cs="Times New Roman"/>
          <w:szCs w:val="28"/>
        </w:rPr>
        <w:t>, в связи с наличием нарушений, выявленных в результате формирования аналитического отчета «Пирамида», расхождений между данными ИС ЭСФ и данными налоговой отчетности по НДС по приобретению на различных уровнях.</w:t>
      </w:r>
    </w:p>
    <w:p w14:paraId="4C44A63E" w14:textId="6D746EE6" w:rsidR="00F00FCF" w:rsidRPr="00BB07C5" w:rsidRDefault="00610A80" w:rsidP="00F00FCF">
      <w:pPr>
        <w:pStyle w:val="a4"/>
        <w:ind w:firstLine="709"/>
        <w:contextualSpacing/>
        <w:jc w:val="both"/>
        <w:rPr>
          <w:rFonts w:cs="Times New Roman"/>
          <w:color w:val="000000"/>
          <w:szCs w:val="28"/>
        </w:rPr>
      </w:pPr>
      <w:r w:rsidRPr="00BB07C5">
        <w:rPr>
          <w:rFonts w:cs="Times New Roman"/>
          <w:szCs w:val="28"/>
        </w:rPr>
        <w:t xml:space="preserve">С данным выводом налогового органа </w:t>
      </w:r>
      <w:r w:rsidR="00F00FCF" w:rsidRPr="00BB07C5">
        <w:rPr>
          <w:rFonts w:cs="Times New Roman"/>
          <w:szCs w:val="28"/>
        </w:rPr>
        <w:t>Товарищества «J»</w:t>
      </w:r>
      <w:r w:rsidRPr="00BB07C5">
        <w:rPr>
          <w:rFonts w:cs="Times New Roman"/>
          <w:szCs w:val="28"/>
        </w:rPr>
        <w:t xml:space="preserve"> не согласна из-за того,</w:t>
      </w:r>
      <w:r w:rsidR="009D27DA" w:rsidRPr="00BB07C5">
        <w:rPr>
          <w:rFonts w:cs="Times New Roman"/>
          <w:szCs w:val="28"/>
          <w:lang w:val="kk-KZ"/>
        </w:rPr>
        <w:t xml:space="preserve"> </w:t>
      </w:r>
      <w:r w:rsidR="004C0023" w:rsidRPr="00BB07C5">
        <w:rPr>
          <w:rFonts w:cs="Times New Roman"/>
          <w:color w:val="000000"/>
          <w:szCs w:val="28"/>
          <w:lang w:val="ru-RU"/>
        </w:rPr>
        <w:t xml:space="preserve">что </w:t>
      </w:r>
      <w:r w:rsidR="00F00FCF" w:rsidRPr="00BB07C5">
        <w:rPr>
          <w:rFonts w:cs="Times New Roman"/>
          <w:color w:val="000000"/>
          <w:szCs w:val="28"/>
          <w:lang w:val="ru-RU"/>
        </w:rPr>
        <w:t>п</w:t>
      </w:r>
      <w:r w:rsidR="00F00FCF" w:rsidRPr="00BB07C5">
        <w:rPr>
          <w:rFonts w:cs="Times New Roman"/>
          <w:color w:val="000000"/>
          <w:szCs w:val="28"/>
        </w:rPr>
        <w:t>о мнению Товарищества, налоговым органом неправомерно отказано в возврате суммы НДС, поскольку в акте проверки отсутствуют сведения о нарушениях со стороны его непосредственного поставщика – АО «Т».</w:t>
      </w:r>
    </w:p>
    <w:p w14:paraId="00AA7969" w14:textId="77777777" w:rsidR="00F00FCF" w:rsidRPr="00BB07C5" w:rsidRDefault="00F00FCF" w:rsidP="00F00FCF">
      <w:pPr>
        <w:pStyle w:val="a4"/>
        <w:ind w:firstLine="709"/>
        <w:contextualSpacing/>
        <w:jc w:val="both"/>
        <w:rPr>
          <w:rFonts w:cs="Times New Roman"/>
          <w:color w:val="000000"/>
          <w:szCs w:val="28"/>
        </w:rPr>
      </w:pPr>
      <w:r w:rsidRPr="00BB07C5">
        <w:rPr>
          <w:rFonts w:cs="Times New Roman"/>
          <w:color w:val="000000"/>
          <w:szCs w:val="28"/>
        </w:rPr>
        <w:t>Товарищество считает, что ссылка налогового органа на несоответствия, выявленные у поставщиков шестого уровня, не имеет правового значения, так как они не являются его непосредственными контрагентами.</w:t>
      </w:r>
    </w:p>
    <w:p w14:paraId="27005F4D" w14:textId="77777777" w:rsidR="00F00FCF" w:rsidRPr="00BB07C5" w:rsidRDefault="00F00FCF" w:rsidP="00F00FCF">
      <w:pPr>
        <w:pStyle w:val="a4"/>
        <w:ind w:firstLine="709"/>
        <w:contextualSpacing/>
        <w:jc w:val="both"/>
        <w:rPr>
          <w:rFonts w:cs="Times New Roman"/>
          <w:color w:val="000000"/>
          <w:szCs w:val="28"/>
        </w:rPr>
      </w:pPr>
      <w:r w:rsidRPr="00BB07C5">
        <w:rPr>
          <w:rFonts w:cs="Times New Roman"/>
          <w:color w:val="000000"/>
          <w:szCs w:val="28"/>
        </w:rPr>
        <w:t>В своей жалобе Товарищество отмечает, что положения статьи 152 Налогового кодекса распространяются исключительно на непосредственных поставщиков проверяемого налогоплательщика.</w:t>
      </w:r>
    </w:p>
    <w:p w14:paraId="5454E29E" w14:textId="77777777" w:rsidR="00F00FCF" w:rsidRPr="00BB07C5" w:rsidRDefault="00F00FCF" w:rsidP="00F00FCF">
      <w:pPr>
        <w:pStyle w:val="a4"/>
        <w:ind w:firstLine="709"/>
        <w:contextualSpacing/>
        <w:jc w:val="both"/>
        <w:rPr>
          <w:rFonts w:cs="Times New Roman"/>
          <w:color w:val="000000"/>
          <w:szCs w:val="28"/>
        </w:rPr>
      </w:pPr>
      <w:r w:rsidRPr="00BB07C5">
        <w:rPr>
          <w:rFonts w:cs="Times New Roman"/>
          <w:color w:val="000000"/>
          <w:szCs w:val="28"/>
        </w:rPr>
        <w:t>Кроме того, Товарищество указывает, что акт проверки не содержит фактов опосредованной поставки товаров (работ, услуг) от поставщиков нижестоящих уровней.</w:t>
      </w:r>
    </w:p>
    <w:p w14:paraId="545A29BC" w14:textId="77777777" w:rsidR="00F00FCF" w:rsidRPr="00BB07C5" w:rsidRDefault="00F00FCF" w:rsidP="006033D6">
      <w:pPr>
        <w:pStyle w:val="a4"/>
        <w:ind w:firstLine="709"/>
        <w:contextualSpacing/>
        <w:jc w:val="both"/>
        <w:rPr>
          <w:rFonts w:cs="Times New Roman"/>
          <w:color w:val="000000"/>
          <w:szCs w:val="28"/>
        </w:rPr>
      </w:pPr>
      <w:r w:rsidRPr="00BB07C5">
        <w:rPr>
          <w:rFonts w:cs="Times New Roman"/>
          <w:color w:val="000000"/>
          <w:szCs w:val="28"/>
        </w:rPr>
        <w:t>Также Товарищество ссылается на то, что данная позиция подтверждается судебной практикой, в частности Постановлением судебной коллегии по административным делам Верховного Суда РК.</w:t>
      </w:r>
    </w:p>
    <w:p w14:paraId="0D7391E2" w14:textId="6A54DAC8" w:rsidR="00610A80" w:rsidRPr="00BB07C5" w:rsidRDefault="00610A80" w:rsidP="006033D6">
      <w:pPr>
        <w:pStyle w:val="a4"/>
        <w:ind w:firstLine="709"/>
        <w:contextualSpacing/>
        <w:jc w:val="both"/>
        <w:rPr>
          <w:rFonts w:cs="Times New Roman"/>
          <w:szCs w:val="28"/>
        </w:rPr>
      </w:pPr>
      <w:r w:rsidRPr="00BB07C5">
        <w:rPr>
          <w:rFonts w:cs="Times New Roman"/>
          <w:szCs w:val="28"/>
        </w:rPr>
        <w:lastRenderedPageBreak/>
        <w:t xml:space="preserve">Проверив доводы </w:t>
      </w:r>
      <w:r w:rsidR="00F00FCF" w:rsidRPr="00BB07C5">
        <w:rPr>
          <w:rFonts w:cs="Times New Roman"/>
          <w:szCs w:val="28"/>
        </w:rPr>
        <w:t>Товарищества «J»</w:t>
      </w:r>
      <w:r w:rsidRPr="00BB07C5">
        <w:rPr>
          <w:rFonts w:cs="Times New Roman"/>
          <w:szCs w:val="28"/>
        </w:rPr>
        <w:t xml:space="preserve">, исследовав представленные налоговым органом материалы, уполномоченный орган пришел к следующим выводам. </w:t>
      </w:r>
    </w:p>
    <w:p w14:paraId="7DC6D514" w14:textId="77777777" w:rsidR="004A3DEF" w:rsidRPr="00BB07C5" w:rsidRDefault="004A3DEF" w:rsidP="004A3DEF">
      <w:pPr>
        <w:pStyle w:val="a4"/>
        <w:ind w:firstLine="709"/>
        <w:contextualSpacing/>
        <w:jc w:val="both"/>
        <w:rPr>
          <w:rFonts w:cs="Times New Roman"/>
          <w:szCs w:val="28"/>
        </w:rPr>
      </w:pPr>
      <w:r w:rsidRPr="00BB07C5">
        <w:rPr>
          <w:rFonts w:cs="Times New Roman"/>
          <w:szCs w:val="28"/>
        </w:rPr>
        <w:t>Порядок возврата сумм превышения НДС с применением системы управления рисками устанавливают Правила №391, которые разработаны в соответствии с пунктом 2 статьи 137 и пунктом 10 статьи 429 Налогового кодекса и подпунктом 1) статьи 10 Закона Республики Казахстан «О государственных услугах».</w:t>
      </w:r>
    </w:p>
    <w:p w14:paraId="4FE965B6" w14:textId="77777777" w:rsidR="004A3DEF" w:rsidRPr="004A3DEF" w:rsidRDefault="004A3DEF" w:rsidP="004A3DEF">
      <w:pPr>
        <w:pStyle w:val="a4"/>
        <w:ind w:firstLine="709"/>
        <w:contextualSpacing/>
        <w:jc w:val="both"/>
        <w:rPr>
          <w:rFonts w:cs="Times New Roman"/>
          <w:szCs w:val="28"/>
        </w:rPr>
      </w:pPr>
      <w:r w:rsidRPr="00BB07C5">
        <w:rPr>
          <w:rFonts w:cs="Times New Roman"/>
          <w:szCs w:val="28"/>
        </w:rPr>
        <w:t>Согласно пункту 38 Правил №391 система управления рисками определяет степени риска на основе автоматизированного расчета присвоения баллов по критериям степени риска согласно приложению 2 к данному приказу в целях подтверждения превышения НДС с</w:t>
      </w:r>
      <w:r w:rsidRPr="004A3DEF">
        <w:rPr>
          <w:rFonts w:cs="Times New Roman"/>
          <w:szCs w:val="28"/>
        </w:rPr>
        <w:t xml:space="preserve"> использованием ИС при проведении тематических проверок в целях определения налогоплательщиков, отнесенных к категории налогоплательщиков, находящихся в зоне риска, по которым формируется аналитический отчет «Пирамида» и при определении суммы превышения НДС, подлежащей возврату в упрощенном порядке.</w:t>
      </w:r>
    </w:p>
    <w:p w14:paraId="47EFE44A" w14:textId="77777777" w:rsidR="004A3DEF" w:rsidRPr="004A3DEF" w:rsidRDefault="004A3DEF" w:rsidP="004A3DEF">
      <w:pPr>
        <w:pStyle w:val="a4"/>
        <w:ind w:firstLine="709"/>
        <w:contextualSpacing/>
        <w:jc w:val="both"/>
        <w:rPr>
          <w:rFonts w:cs="Times New Roman"/>
          <w:szCs w:val="28"/>
        </w:rPr>
      </w:pPr>
      <w:r w:rsidRPr="004A3DEF">
        <w:rPr>
          <w:rFonts w:cs="Times New Roman"/>
          <w:szCs w:val="28"/>
        </w:rPr>
        <w:t>При этом пунктом 39 Правил №391 установлено, что для определения риска извлечения налогоплательщиком выгоды из своих незаконных действий в целях получения налоговых выгод (налоговой экономии) и уменьшения налоговых платежей применяются критерии, которые являются конфиденциальной информацией, не подлежащей разглашению, в том числе налогоплательщику, по которому произведена оценка степени (уровня) риска.</w:t>
      </w:r>
    </w:p>
    <w:p w14:paraId="5915B74F" w14:textId="77777777" w:rsidR="004A3DEF" w:rsidRPr="004A3DEF" w:rsidRDefault="004A3DEF" w:rsidP="004A3DEF">
      <w:pPr>
        <w:pStyle w:val="a4"/>
        <w:ind w:firstLine="709"/>
        <w:contextualSpacing/>
        <w:jc w:val="both"/>
        <w:rPr>
          <w:rFonts w:cs="Times New Roman"/>
          <w:szCs w:val="28"/>
        </w:rPr>
      </w:pPr>
      <w:r w:rsidRPr="004A3DEF">
        <w:rPr>
          <w:rFonts w:cs="Times New Roman"/>
          <w:szCs w:val="28"/>
        </w:rPr>
        <w:t xml:space="preserve">Согласно пункту 45 Правил №391 отчетом «Пирамида» являются результаты контроля, осуществляемого </w:t>
      </w:r>
      <w:proofErr w:type="spellStart"/>
      <w:r w:rsidRPr="004A3DEF">
        <w:rPr>
          <w:rFonts w:cs="Times New Roman"/>
          <w:szCs w:val="28"/>
        </w:rPr>
        <w:t>услугодателем</w:t>
      </w:r>
      <w:proofErr w:type="spellEnd"/>
      <w:r w:rsidRPr="004A3DEF">
        <w:rPr>
          <w:rFonts w:cs="Times New Roman"/>
          <w:szCs w:val="28"/>
        </w:rPr>
        <w:t xml:space="preserve"> на основе изучения и анализа представленной налогоплательщиком налоговой отчетности по НДС и (или) сведений ИС, а также сведений, полученных от уполномоченных государственных органов, местных исполнительных органов, уполномоченных лиц, а также других документов и (или) сведений о деятельности налогоплательщика.</w:t>
      </w:r>
    </w:p>
    <w:p w14:paraId="31263608" w14:textId="77777777" w:rsidR="004A3DEF" w:rsidRPr="004A3DEF" w:rsidRDefault="004A3DEF" w:rsidP="004A3DEF">
      <w:pPr>
        <w:pStyle w:val="a4"/>
        <w:ind w:firstLine="709"/>
        <w:contextualSpacing/>
        <w:jc w:val="both"/>
        <w:rPr>
          <w:rFonts w:cs="Times New Roman"/>
          <w:szCs w:val="28"/>
        </w:rPr>
      </w:pPr>
      <w:r w:rsidRPr="004A3DEF">
        <w:rPr>
          <w:rFonts w:cs="Times New Roman"/>
          <w:szCs w:val="28"/>
        </w:rPr>
        <w:t>Отчет «Пирамида» формируется с учетом:</w:t>
      </w:r>
    </w:p>
    <w:p w14:paraId="21F38CB4" w14:textId="77777777" w:rsidR="004A3DEF" w:rsidRPr="004A3DEF" w:rsidRDefault="004A3DEF" w:rsidP="004A3DEF">
      <w:pPr>
        <w:pStyle w:val="a4"/>
        <w:ind w:firstLine="709"/>
        <w:contextualSpacing/>
        <w:jc w:val="both"/>
        <w:rPr>
          <w:rFonts w:cs="Times New Roman"/>
          <w:szCs w:val="28"/>
        </w:rPr>
      </w:pPr>
      <w:r w:rsidRPr="004A3DEF">
        <w:rPr>
          <w:rFonts w:cs="Times New Roman"/>
          <w:szCs w:val="28"/>
        </w:rPr>
        <w:t>риска неисполнения налоговых обязательств и</w:t>
      </w:r>
    </w:p>
    <w:p w14:paraId="176986EC" w14:textId="77777777" w:rsidR="004A3DEF" w:rsidRPr="004A3DEF" w:rsidRDefault="004A3DEF" w:rsidP="004A3DEF">
      <w:pPr>
        <w:pStyle w:val="a4"/>
        <w:ind w:firstLine="709"/>
        <w:contextualSpacing/>
        <w:jc w:val="both"/>
        <w:rPr>
          <w:rFonts w:cs="Times New Roman"/>
          <w:szCs w:val="28"/>
        </w:rPr>
      </w:pPr>
      <w:r w:rsidRPr="004A3DEF">
        <w:rPr>
          <w:rFonts w:cs="Times New Roman"/>
          <w:szCs w:val="28"/>
        </w:rPr>
        <w:t>риска указанного в пункте 47 Правил №391, в том числе с использованием фиктивных (бестоварных) операций.</w:t>
      </w:r>
    </w:p>
    <w:p w14:paraId="4669C1AF" w14:textId="77777777" w:rsidR="004A3DEF" w:rsidRPr="004A3DEF" w:rsidRDefault="004A3DEF" w:rsidP="004A3DEF">
      <w:pPr>
        <w:pStyle w:val="a4"/>
        <w:ind w:firstLine="709"/>
        <w:contextualSpacing/>
        <w:jc w:val="both"/>
        <w:rPr>
          <w:rFonts w:cs="Times New Roman"/>
          <w:szCs w:val="28"/>
        </w:rPr>
      </w:pPr>
      <w:r w:rsidRPr="004A3DEF">
        <w:rPr>
          <w:rFonts w:cs="Times New Roman"/>
          <w:szCs w:val="28"/>
        </w:rPr>
        <w:t xml:space="preserve">Согласно пункту 47 Правил №391 риском извлечения </w:t>
      </w:r>
      <w:proofErr w:type="spellStart"/>
      <w:r w:rsidRPr="004A3DEF">
        <w:rPr>
          <w:rFonts w:cs="Times New Roman"/>
          <w:szCs w:val="28"/>
        </w:rPr>
        <w:t>услугополучателем</w:t>
      </w:r>
      <w:proofErr w:type="spellEnd"/>
      <w:r w:rsidRPr="004A3DEF">
        <w:rPr>
          <w:rFonts w:cs="Times New Roman"/>
          <w:szCs w:val="28"/>
        </w:rPr>
        <w:t xml:space="preserve"> выгоды из своих незаконных действий в целях получения налоговых выгод (налоговой экономии) и уменьшения налоговых платежей признается:</w:t>
      </w:r>
    </w:p>
    <w:p w14:paraId="62382805" w14:textId="77777777" w:rsidR="004A3DEF" w:rsidRPr="004A3DEF" w:rsidRDefault="004A3DEF" w:rsidP="004A3DEF">
      <w:pPr>
        <w:pStyle w:val="a4"/>
        <w:ind w:firstLine="709"/>
        <w:contextualSpacing/>
        <w:jc w:val="both"/>
        <w:rPr>
          <w:rFonts w:cs="Times New Roman"/>
          <w:szCs w:val="28"/>
        </w:rPr>
      </w:pPr>
      <w:r w:rsidRPr="004A3DEF">
        <w:rPr>
          <w:rFonts w:cs="Times New Roman"/>
          <w:szCs w:val="28"/>
        </w:rPr>
        <w:t>1) применение схем уклонения от уплаты налогов, в том числе заключение сделок с целью получения права на зачет сумм НДС без фактической поставки товаров, выполнения работ, оказания услуг и (или) заключение сделок с целью увеличения добавленной стоимости товара, соответственно, наращивания превышения НДС;</w:t>
      </w:r>
    </w:p>
    <w:p w14:paraId="1F6432AB" w14:textId="77777777" w:rsidR="004A3DEF" w:rsidRPr="004A3DEF" w:rsidRDefault="004A3DEF" w:rsidP="004A3DEF">
      <w:pPr>
        <w:pStyle w:val="a4"/>
        <w:ind w:firstLine="709"/>
        <w:contextualSpacing/>
        <w:jc w:val="both"/>
        <w:rPr>
          <w:rFonts w:cs="Times New Roman"/>
          <w:szCs w:val="28"/>
        </w:rPr>
      </w:pPr>
      <w:r w:rsidRPr="004A3DEF">
        <w:rPr>
          <w:rFonts w:cs="Times New Roman"/>
          <w:szCs w:val="28"/>
        </w:rPr>
        <w:t xml:space="preserve">2) действия, направленные на вывод денежных средств в теневую экономику и </w:t>
      </w:r>
      <w:proofErr w:type="spellStart"/>
      <w:r w:rsidRPr="004A3DEF">
        <w:rPr>
          <w:rFonts w:cs="Times New Roman"/>
          <w:szCs w:val="28"/>
        </w:rPr>
        <w:t>обналичивание</w:t>
      </w:r>
      <w:proofErr w:type="spellEnd"/>
      <w:r w:rsidRPr="004A3DEF">
        <w:rPr>
          <w:rFonts w:cs="Times New Roman"/>
          <w:szCs w:val="28"/>
        </w:rPr>
        <w:t xml:space="preserve"> денежных средств;</w:t>
      </w:r>
    </w:p>
    <w:p w14:paraId="61F87E58" w14:textId="77777777" w:rsidR="004A3DEF" w:rsidRPr="004A3DEF" w:rsidRDefault="004A3DEF" w:rsidP="004A3DEF">
      <w:pPr>
        <w:pStyle w:val="a4"/>
        <w:ind w:firstLine="709"/>
        <w:contextualSpacing/>
        <w:jc w:val="both"/>
        <w:rPr>
          <w:rFonts w:cs="Times New Roman"/>
          <w:szCs w:val="28"/>
        </w:rPr>
      </w:pPr>
      <w:r w:rsidRPr="004A3DEF">
        <w:rPr>
          <w:rFonts w:cs="Times New Roman"/>
          <w:szCs w:val="28"/>
        </w:rPr>
        <w:lastRenderedPageBreak/>
        <w:t>3) притворные сделки, совершенные с целью прикрыть другую сделку (значительное занижение или завышение цены сделок).</w:t>
      </w:r>
    </w:p>
    <w:p w14:paraId="1513E6F7" w14:textId="77777777" w:rsidR="004A3DEF" w:rsidRPr="004A3DEF" w:rsidRDefault="004A3DEF" w:rsidP="004A3DEF">
      <w:pPr>
        <w:pStyle w:val="a4"/>
        <w:ind w:firstLine="709"/>
        <w:contextualSpacing/>
        <w:jc w:val="both"/>
        <w:rPr>
          <w:rFonts w:cs="Times New Roman"/>
          <w:szCs w:val="28"/>
        </w:rPr>
      </w:pPr>
      <w:r w:rsidRPr="004A3DEF">
        <w:rPr>
          <w:rFonts w:cs="Times New Roman"/>
          <w:szCs w:val="28"/>
        </w:rPr>
        <w:t>В части установления данных рисков, отчет «Пирамида» формируется независимо от категории и (или) статуса поставщика, за исключением поставщиков, указанных в подпунктах 4), 5) и 6) пункта 46 Правил №391.</w:t>
      </w:r>
    </w:p>
    <w:p w14:paraId="379041E9" w14:textId="77777777" w:rsidR="004A3DEF" w:rsidRPr="004A3DEF" w:rsidRDefault="004A3DEF" w:rsidP="004A3DEF">
      <w:pPr>
        <w:pStyle w:val="a4"/>
        <w:ind w:firstLine="709"/>
        <w:contextualSpacing/>
        <w:jc w:val="both"/>
        <w:rPr>
          <w:rFonts w:cs="Times New Roman"/>
          <w:szCs w:val="28"/>
        </w:rPr>
      </w:pPr>
      <w:r w:rsidRPr="004A3DEF">
        <w:rPr>
          <w:rFonts w:cs="Times New Roman"/>
          <w:szCs w:val="28"/>
        </w:rPr>
        <w:t>Следует указать, что в соответствии с пунктом 1 статьи 120-1 Налогового кодекса налоговые органы по нарушениям с высокой степенью риска производят ограничение выписки электронных счетов-фактур в информационной системе электронных счетов-фактур в случае неисполнения в установленный срок и (или) признания неисполненным уведомления об устранении нарушений, выявленных налоговыми органами по результатам камерального контроля.</w:t>
      </w:r>
    </w:p>
    <w:p w14:paraId="343D599E" w14:textId="77777777" w:rsidR="004A3DEF" w:rsidRPr="004A3DEF" w:rsidRDefault="004A3DEF" w:rsidP="004A3DEF">
      <w:pPr>
        <w:pStyle w:val="a4"/>
        <w:ind w:firstLine="709"/>
        <w:contextualSpacing/>
        <w:jc w:val="both"/>
        <w:rPr>
          <w:rFonts w:cs="Times New Roman"/>
          <w:szCs w:val="28"/>
        </w:rPr>
      </w:pPr>
      <w:r w:rsidRPr="004A3DEF">
        <w:rPr>
          <w:rFonts w:cs="Times New Roman"/>
          <w:szCs w:val="28"/>
        </w:rPr>
        <w:t>Пунктом 52 Правил №391 предусмотрено, что в случае выявления по результатам отчета «Пирамида» у поставщиков товаров, работ, услуг нарушений налогового законодательства, подтверждение достоверности сумм превышения НДС, производится в пределах предъявленных сумм, уменьшенных на суммы превышения НДС, приходящихся на поставщиков, у которых выявлены нарушения налогового законодательства, предусмотренные подпунктами 1) - 7) пункта 52 Правил №391.</w:t>
      </w:r>
    </w:p>
    <w:p w14:paraId="30A3D14D" w14:textId="77777777" w:rsidR="004A3DEF" w:rsidRPr="004A3DEF" w:rsidRDefault="004A3DEF" w:rsidP="004A3DEF">
      <w:pPr>
        <w:pStyle w:val="a4"/>
        <w:ind w:firstLine="709"/>
        <w:contextualSpacing/>
        <w:jc w:val="both"/>
        <w:rPr>
          <w:rFonts w:cs="Times New Roman"/>
          <w:szCs w:val="28"/>
        </w:rPr>
      </w:pPr>
      <w:r w:rsidRPr="004A3DEF">
        <w:rPr>
          <w:rFonts w:cs="Times New Roman"/>
          <w:szCs w:val="28"/>
        </w:rPr>
        <w:t>В соответствии с пунктом 54 Правил №391 непосредственными поставщиками признаются:</w:t>
      </w:r>
    </w:p>
    <w:p w14:paraId="17A134B7" w14:textId="77777777" w:rsidR="004A3DEF" w:rsidRPr="004A3DEF" w:rsidRDefault="004A3DEF" w:rsidP="004A3DEF">
      <w:pPr>
        <w:pStyle w:val="a4"/>
        <w:ind w:firstLine="709"/>
        <w:contextualSpacing/>
        <w:jc w:val="both"/>
        <w:rPr>
          <w:rFonts w:cs="Times New Roman"/>
          <w:szCs w:val="28"/>
        </w:rPr>
      </w:pPr>
      <w:r w:rsidRPr="004A3DEF">
        <w:rPr>
          <w:rFonts w:cs="Times New Roman"/>
          <w:szCs w:val="28"/>
        </w:rPr>
        <w:t xml:space="preserve">- поставщики, непосредственно или через посредников (агентов, комиссионеров или поверенных) поставившие товары, выполнившие работы или оказавшие услуги проверяемому </w:t>
      </w:r>
      <w:proofErr w:type="spellStart"/>
      <w:r w:rsidRPr="004A3DEF">
        <w:rPr>
          <w:rFonts w:cs="Times New Roman"/>
          <w:szCs w:val="28"/>
        </w:rPr>
        <w:t>услугополучателю</w:t>
      </w:r>
      <w:proofErr w:type="spellEnd"/>
      <w:r w:rsidRPr="004A3DEF">
        <w:rPr>
          <w:rFonts w:cs="Times New Roman"/>
          <w:szCs w:val="28"/>
        </w:rPr>
        <w:t>;</w:t>
      </w:r>
    </w:p>
    <w:p w14:paraId="1E701DBC" w14:textId="77777777" w:rsidR="004A3DEF" w:rsidRPr="004A3DEF" w:rsidRDefault="004A3DEF" w:rsidP="004A3DEF">
      <w:pPr>
        <w:pStyle w:val="a4"/>
        <w:ind w:firstLine="709"/>
        <w:contextualSpacing/>
        <w:jc w:val="both"/>
        <w:rPr>
          <w:rFonts w:cs="Times New Roman"/>
          <w:szCs w:val="28"/>
        </w:rPr>
      </w:pPr>
      <w:r w:rsidRPr="004A3DEF">
        <w:rPr>
          <w:rFonts w:cs="Times New Roman"/>
          <w:szCs w:val="28"/>
        </w:rPr>
        <w:t xml:space="preserve">- поставщики, непосредственно или через посредников (агентов, комиссионеров или поверенных) поставившие товары, выполнившие работы или оказавшие услуги через взаимосвязанных сторон и (или) лиц, находящимися под контролем по отношению к проверяемому </w:t>
      </w:r>
      <w:proofErr w:type="spellStart"/>
      <w:r w:rsidRPr="004A3DEF">
        <w:rPr>
          <w:rFonts w:cs="Times New Roman"/>
          <w:szCs w:val="28"/>
        </w:rPr>
        <w:t>услугополучателю</w:t>
      </w:r>
      <w:proofErr w:type="spellEnd"/>
      <w:r w:rsidRPr="004A3DEF">
        <w:rPr>
          <w:rFonts w:cs="Times New Roman"/>
          <w:szCs w:val="28"/>
        </w:rPr>
        <w:t>.</w:t>
      </w:r>
    </w:p>
    <w:p w14:paraId="4E317330" w14:textId="77777777" w:rsidR="004A3DEF" w:rsidRPr="004A3DEF" w:rsidRDefault="004A3DEF" w:rsidP="004A3DEF">
      <w:pPr>
        <w:pStyle w:val="a4"/>
        <w:ind w:firstLine="709"/>
        <w:contextualSpacing/>
        <w:jc w:val="both"/>
        <w:rPr>
          <w:rFonts w:cs="Times New Roman"/>
          <w:szCs w:val="28"/>
        </w:rPr>
      </w:pPr>
      <w:r w:rsidRPr="004A3DEF">
        <w:rPr>
          <w:rFonts w:cs="Times New Roman"/>
          <w:szCs w:val="28"/>
        </w:rPr>
        <w:t xml:space="preserve">Нарушениями непосредственных поставщиков проверяемого </w:t>
      </w:r>
      <w:proofErr w:type="spellStart"/>
      <w:r w:rsidRPr="004A3DEF">
        <w:rPr>
          <w:rFonts w:cs="Times New Roman"/>
          <w:szCs w:val="28"/>
        </w:rPr>
        <w:t>услугополучателя</w:t>
      </w:r>
      <w:proofErr w:type="spellEnd"/>
      <w:r w:rsidRPr="004A3DEF">
        <w:rPr>
          <w:rFonts w:cs="Times New Roman"/>
          <w:szCs w:val="28"/>
        </w:rPr>
        <w:t>, выявленных по результатам отчета «Пирамида» признаются:</w:t>
      </w:r>
    </w:p>
    <w:p w14:paraId="5A1CD3A0" w14:textId="77777777" w:rsidR="004A3DEF" w:rsidRPr="004A3DEF" w:rsidRDefault="004A3DEF" w:rsidP="004A3DEF">
      <w:pPr>
        <w:pStyle w:val="a4"/>
        <w:ind w:firstLine="709"/>
        <w:contextualSpacing/>
        <w:jc w:val="both"/>
        <w:rPr>
          <w:rFonts w:cs="Times New Roman"/>
          <w:szCs w:val="28"/>
        </w:rPr>
      </w:pPr>
      <w:r w:rsidRPr="004A3DEF">
        <w:rPr>
          <w:rFonts w:cs="Times New Roman"/>
          <w:szCs w:val="28"/>
        </w:rPr>
        <w:t>- нарушения, указанные в пункте 46 Правил №391, допущенные непосредственным поставщиком;</w:t>
      </w:r>
    </w:p>
    <w:p w14:paraId="1EEF7D24" w14:textId="77777777" w:rsidR="004A3DEF" w:rsidRPr="004A3DEF" w:rsidRDefault="004A3DEF" w:rsidP="004A3DEF">
      <w:pPr>
        <w:pStyle w:val="a4"/>
        <w:ind w:firstLine="709"/>
        <w:contextualSpacing/>
        <w:jc w:val="both"/>
        <w:rPr>
          <w:rFonts w:cs="Times New Roman"/>
          <w:szCs w:val="28"/>
        </w:rPr>
      </w:pPr>
      <w:r w:rsidRPr="004A3DEF">
        <w:rPr>
          <w:rFonts w:cs="Times New Roman"/>
          <w:szCs w:val="28"/>
        </w:rPr>
        <w:t>- нарушения, указанные в пункте 47 Правил №391, допущенные поставщиками, имевшими взаиморасчеты с непосредственным поставщиком.</w:t>
      </w:r>
    </w:p>
    <w:p w14:paraId="64A083A6" w14:textId="77777777" w:rsidR="004A3DEF" w:rsidRPr="004A3DEF" w:rsidRDefault="004A3DEF" w:rsidP="004A3DEF">
      <w:pPr>
        <w:pStyle w:val="a4"/>
        <w:ind w:firstLine="709"/>
        <w:contextualSpacing/>
        <w:jc w:val="both"/>
        <w:rPr>
          <w:rFonts w:cs="Times New Roman"/>
          <w:szCs w:val="28"/>
        </w:rPr>
      </w:pPr>
      <w:r w:rsidRPr="004A3DEF">
        <w:rPr>
          <w:rFonts w:cs="Times New Roman"/>
          <w:szCs w:val="28"/>
        </w:rPr>
        <w:t>В соответствии с пунктом 43 Правил №391, если суммарный итог баллов по результатам оценки с использованием критериев степени риска не превышает порог баллов (350 баллов), установленный Комитетом государственных доходов Республики Казахстан, то по таким налогоплательщикам формируется отчет «Пирамида».</w:t>
      </w:r>
    </w:p>
    <w:p w14:paraId="01D0866C" w14:textId="7CE772A2" w:rsidR="00CD300C" w:rsidRDefault="004A3DEF" w:rsidP="004A3DEF">
      <w:pPr>
        <w:pStyle w:val="a4"/>
        <w:ind w:firstLine="709"/>
        <w:contextualSpacing/>
        <w:jc w:val="both"/>
        <w:rPr>
          <w:rFonts w:eastAsia="Times New Roman" w:cs="Times New Roman"/>
          <w:szCs w:val="28"/>
          <w:lang w:val="kk-KZ" w:eastAsia="ru-RU"/>
        </w:rPr>
      </w:pPr>
      <w:r w:rsidRPr="004A3DEF">
        <w:rPr>
          <w:rFonts w:cs="Times New Roman"/>
          <w:szCs w:val="28"/>
        </w:rPr>
        <w:t xml:space="preserve">При этом, согласно пункту 45 Правил №391 отчетом «Пирамида» являются результаты контроля, осуществляемого </w:t>
      </w:r>
      <w:proofErr w:type="spellStart"/>
      <w:r w:rsidRPr="004A3DEF">
        <w:rPr>
          <w:rFonts w:cs="Times New Roman"/>
          <w:szCs w:val="28"/>
        </w:rPr>
        <w:t>услугодателем</w:t>
      </w:r>
      <w:proofErr w:type="spellEnd"/>
      <w:r w:rsidRPr="004A3DEF">
        <w:rPr>
          <w:rFonts w:cs="Times New Roman"/>
          <w:szCs w:val="28"/>
        </w:rPr>
        <w:t xml:space="preserve"> на основе изучения и анализа представленной налогоплательщиком налоговой отчетности по НДС и (или) сведений ИС, а также сведений, полученных от уполномоченных государственных органов, местных исполнительных органов, уполномоченных </w:t>
      </w:r>
      <w:r w:rsidRPr="004A3DEF">
        <w:rPr>
          <w:rFonts w:cs="Times New Roman"/>
          <w:szCs w:val="28"/>
        </w:rPr>
        <w:lastRenderedPageBreak/>
        <w:t>лиц, а также других документов и (или) сведений о деятельности налогоплательщика.</w:t>
      </w:r>
    </w:p>
    <w:p w14:paraId="3748EF11" w14:textId="77777777" w:rsidR="004A3DEF" w:rsidRPr="004A3DEF" w:rsidRDefault="004A3DEF" w:rsidP="004A3DEF">
      <w:pPr>
        <w:pStyle w:val="a4"/>
        <w:widowControl w:val="0"/>
        <w:pBdr>
          <w:bottom w:val="single" w:sz="4" w:space="31" w:color="FFFFFF"/>
        </w:pBdr>
        <w:tabs>
          <w:tab w:val="left" w:pos="0"/>
        </w:tabs>
        <w:ind w:right="140" w:firstLine="709"/>
        <w:contextualSpacing/>
        <w:jc w:val="both"/>
        <w:rPr>
          <w:rFonts w:eastAsia="Times New Roman" w:cs="Times New Roman"/>
          <w:szCs w:val="28"/>
          <w:lang w:val="kk-KZ" w:eastAsia="ru-RU"/>
        </w:rPr>
      </w:pPr>
      <w:r w:rsidRPr="004A3DEF">
        <w:rPr>
          <w:rFonts w:eastAsia="Times New Roman" w:cs="Times New Roman"/>
          <w:szCs w:val="28"/>
          <w:lang w:val="kk-KZ" w:eastAsia="ru-RU"/>
        </w:rPr>
        <w:t>В рассматриваемом случае, как следует из акта налоговой проверки, произведен автоматизированный расчет баллов по критериям степени риска, при этом суммарный итог баллов не превысил порог баллов (350 баллов), соответственно, сформирован аналитический отчет «Пирамида».</w:t>
      </w:r>
    </w:p>
    <w:p w14:paraId="04083B57" w14:textId="77777777" w:rsidR="004A3DEF" w:rsidRPr="004A3DEF" w:rsidRDefault="004A3DEF" w:rsidP="004A3DEF">
      <w:pPr>
        <w:pStyle w:val="a4"/>
        <w:widowControl w:val="0"/>
        <w:pBdr>
          <w:bottom w:val="single" w:sz="4" w:space="31" w:color="FFFFFF"/>
        </w:pBdr>
        <w:tabs>
          <w:tab w:val="left" w:pos="0"/>
        </w:tabs>
        <w:ind w:right="140" w:firstLine="709"/>
        <w:contextualSpacing/>
        <w:jc w:val="both"/>
        <w:rPr>
          <w:rFonts w:eastAsia="Times New Roman" w:cs="Times New Roman"/>
          <w:szCs w:val="28"/>
          <w:lang w:val="kk-KZ" w:eastAsia="ru-RU"/>
        </w:rPr>
      </w:pPr>
      <w:r w:rsidRPr="004A3DEF">
        <w:rPr>
          <w:rFonts w:eastAsia="Times New Roman" w:cs="Times New Roman"/>
          <w:szCs w:val="28"/>
          <w:lang w:val="kk-KZ" w:eastAsia="ru-RU"/>
        </w:rPr>
        <w:t>В соответствии с подпунктами 2), 3) пункта 12 статьи 152 Налогового кодекса не производится возврат НДС в пределах сумм, по которым на дату завершения налоговой проверки, по поставщикам проверяемого налогоплательщика выявлены нарушения по результатам анализа аналитического отчета «Пирамида» и не подтверждена достоверность сумм НДС.</w:t>
      </w:r>
    </w:p>
    <w:p w14:paraId="4AD93C1E" w14:textId="77777777" w:rsidR="004A3DEF" w:rsidRPr="004A3DEF" w:rsidRDefault="004A3DEF" w:rsidP="004A3DEF">
      <w:pPr>
        <w:pStyle w:val="a4"/>
        <w:widowControl w:val="0"/>
        <w:pBdr>
          <w:bottom w:val="single" w:sz="4" w:space="31" w:color="FFFFFF"/>
        </w:pBdr>
        <w:tabs>
          <w:tab w:val="left" w:pos="0"/>
        </w:tabs>
        <w:ind w:right="140" w:firstLine="709"/>
        <w:contextualSpacing/>
        <w:jc w:val="both"/>
        <w:rPr>
          <w:rFonts w:eastAsia="Times New Roman" w:cs="Times New Roman"/>
          <w:szCs w:val="28"/>
          <w:lang w:val="kk-KZ" w:eastAsia="ru-RU"/>
        </w:rPr>
      </w:pPr>
      <w:r w:rsidRPr="004A3DEF">
        <w:rPr>
          <w:rFonts w:eastAsia="Times New Roman" w:cs="Times New Roman"/>
          <w:szCs w:val="28"/>
          <w:lang w:val="kk-KZ" w:eastAsia="ru-RU"/>
        </w:rPr>
        <w:t>Таким образом, по результатам акта налоговой проверки по выявленным нарушениям отчета «Пирамида» в результате применения системы управления рисками не подтверждено к возврату превышение НДС в сумме 4 774,8 тыс.тенге.</w:t>
      </w:r>
    </w:p>
    <w:p w14:paraId="0AE417A1" w14:textId="77777777" w:rsidR="004A3DEF" w:rsidRPr="004A3DEF" w:rsidRDefault="004A3DEF" w:rsidP="004A3DEF">
      <w:pPr>
        <w:pStyle w:val="a4"/>
        <w:widowControl w:val="0"/>
        <w:pBdr>
          <w:bottom w:val="single" w:sz="4" w:space="31" w:color="FFFFFF"/>
        </w:pBdr>
        <w:tabs>
          <w:tab w:val="left" w:pos="0"/>
        </w:tabs>
        <w:ind w:right="140" w:firstLine="709"/>
        <w:contextualSpacing/>
        <w:jc w:val="both"/>
        <w:rPr>
          <w:rFonts w:eastAsia="Times New Roman" w:cs="Times New Roman"/>
          <w:szCs w:val="28"/>
          <w:lang w:val="kk-KZ" w:eastAsia="ru-RU"/>
        </w:rPr>
      </w:pPr>
      <w:r w:rsidRPr="004A3DEF">
        <w:rPr>
          <w:rFonts w:eastAsia="Times New Roman" w:cs="Times New Roman"/>
          <w:szCs w:val="28"/>
          <w:lang w:val="kk-KZ" w:eastAsia="ru-RU"/>
        </w:rPr>
        <w:t>В рассматриваемом случае, как следует из акта налоговой проверки, с учетом риска, указанного в пункте 47 Правил №391, у поставщиков последующих уровней выявлены нарушения в части ограничения выписки ЭСФ в ИС ЭСФ у поставщиков последующих уровней, при этом сумма НДС, не подлежащая возврату, составляет сумму 4 774,8 тыс.тенге, в том числе по следующим поставщикам:</w:t>
      </w:r>
    </w:p>
    <w:p w14:paraId="6B6B2EF6" w14:textId="5FCCC592" w:rsidR="004A3DEF" w:rsidRPr="004A3DEF" w:rsidRDefault="004A3DEF" w:rsidP="004A3DEF">
      <w:pPr>
        <w:pStyle w:val="a4"/>
        <w:widowControl w:val="0"/>
        <w:pBdr>
          <w:bottom w:val="single" w:sz="4" w:space="31" w:color="FFFFFF"/>
        </w:pBdr>
        <w:tabs>
          <w:tab w:val="left" w:pos="0"/>
        </w:tabs>
        <w:ind w:right="140" w:firstLine="709"/>
        <w:contextualSpacing/>
        <w:jc w:val="both"/>
        <w:rPr>
          <w:rFonts w:eastAsia="Times New Roman" w:cs="Times New Roman"/>
          <w:szCs w:val="28"/>
          <w:lang w:val="kk-KZ" w:eastAsia="ru-RU"/>
        </w:rPr>
      </w:pPr>
      <w:r w:rsidRPr="004A3DEF">
        <w:rPr>
          <w:rFonts w:eastAsia="Times New Roman" w:cs="Times New Roman"/>
          <w:szCs w:val="28"/>
          <w:lang w:val="kk-KZ" w:eastAsia="ru-RU"/>
        </w:rPr>
        <w:t>- Товариществом отнесен в зачет НДС по АО «Т» в сумме 8 690,8 тыс.тенге, при этом, установлены нарушения у поставщиков 6 уровня (ТОО «Q», ТОО «А», ТОО «З», ТОО «Н», ТОО «P», ТОО «S», ТОО «П</w:t>
      </w:r>
      <w:r w:rsidR="002A5809" w:rsidRPr="002A5809">
        <w:rPr>
          <w:rFonts w:eastAsia="Times New Roman" w:cs="Times New Roman"/>
          <w:szCs w:val="28"/>
          <w:lang w:val="ru-RU" w:eastAsia="ru-RU"/>
        </w:rPr>
        <w:t>2</w:t>
      </w:r>
      <w:r w:rsidRPr="004A3DEF">
        <w:rPr>
          <w:rFonts w:eastAsia="Times New Roman" w:cs="Times New Roman"/>
          <w:szCs w:val="28"/>
          <w:lang w:val="kk-KZ" w:eastAsia="ru-RU"/>
        </w:rPr>
        <w:t>», ТОО «А</w:t>
      </w:r>
      <w:r w:rsidR="002A5809" w:rsidRPr="002A5809">
        <w:rPr>
          <w:rFonts w:eastAsia="Times New Roman" w:cs="Times New Roman"/>
          <w:szCs w:val="28"/>
          <w:lang w:val="ru-RU" w:eastAsia="ru-RU"/>
        </w:rPr>
        <w:t>2</w:t>
      </w:r>
      <w:r w:rsidRPr="004A3DEF">
        <w:rPr>
          <w:rFonts w:eastAsia="Times New Roman" w:cs="Times New Roman"/>
          <w:szCs w:val="28"/>
          <w:lang w:val="kk-KZ" w:eastAsia="ru-RU"/>
        </w:rPr>
        <w:t>», ТОО «Ж», ТОО «Д», ТОО «М», ТОО «С», ТОО «Э», ТОО «М</w:t>
      </w:r>
      <w:r w:rsidR="002A5809" w:rsidRPr="002A5809">
        <w:rPr>
          <w:rFonts w:eastAsia="Times New Roman" w:cs="Times New Roman"/>
          <w:szCs w:val="28"/>
          <w:lang w:val="ru-RU" w:eastAsia="ru-RU"/>
        </w:rPr>
        <w:t>2</w:t>
      </w:r>
      <w:r w:rsidRPr="004A3DEF">
        <w:rPr>
          <w:rFonts w:eastAsia="Times New Roman" w:cs="Times New Roman"/>
          <w:szCs w:val="28"/>
          <w:lang w:val="kk-KZ" w:eastAsia="ru-RU"/>
        </w:rPr>
        <w:t>», ТОО «К», ТОО «С</w:t>
      </w:r>
      <w:r w:rsidR="002A5809" w:rsidRPr="002A5809">
        <w:rPr>
          <w:rFonts w:eastAsia="Times New Roman" w:cs="Times New Roman"/>
          <w:szCs w:val="28"/>
          <w:lang w:val="ru-RU" w:eastAsia="ru-RU"/>
        </w:rPr>
        <w:t>2</w:t>
      </w:r>
      <w:r w:rsidRPr="004A3DEF">
        <w:rPr>
          <w:rFonts w:eastAsia="Times New Roman" w:cs="Times New Roman"/>
          <w:szCs w:val="28"/>
          <w:lang w:val="kk-KZ" w:eastAsia="ru-RU"/>
        </w:rPr>
        <w:t>», ТОО «Д</w:t>
      </w:r>
      <w:r w:rsidR="002A5809" w:rsidRPr="002A5809">
        <w:rPr>
          <w:rFonts w:eastAsia="Times New Roman" w:cs="Times New Roman"/>
          <w:szCs w:val="28"/>
          <w:lang w:val="ru-RU" w:eastAsia="ru-RU"/>
        </w:rPr>
        <w:t>2</w:t>
      </w:r>
      <w:r w:rsidRPr="004A3DEF">
        <w:rPr>
          <w:rFonts w:eastAsia="Times New Roman" w:cs="Times New Roman"/>
          <w:szCs w:val="28"/>
          <w:lang w:val="kk-KZ" w:eastAsia="ru-RU"/>
        </w:rPr>
        <w:t>», ТОО «М</w:t>
      </w:r>
      <w:r w:rsidR="002A5809" w:rsidRPr="002A5809">
        <w:rPr>
          <w:rFonts w:eastAsia="Times New Roman" w:cs="Times New Roman"/>
          <w:szCs w:val="28"/>
          <w:lang w:val="ru-RU" w:eastAsia="ru-RU"/>
        </w:rPr>
        <w:t>3</w:t>
      </w:r>
      <w:r w:rsidRPr="004A3DEF">
        <w:rPr>
          <w:rFonts w:eastAsia="Times New Roman" w:cs="Times New Roman"/>
          <w:szCs w:val="28"/>
          <w:lang w:val="kk-KZ" w:eastAsia="ru-RU"/>
        </w:rPr>
        <w:t>», ТОО «N», ТОО «B», ТОО «М</w:t>
      </w:r>
      <w:r w:rsidR="002A5809" w:rsidRPr="002A5809">
        <w:rPr>
          <w:rFonts w:eastAsia="Times New Roman" w:cs="Times New Roman"/>
          <w:szCs w:val="28"/>
          <w:lang w:val="ru-RU" w:eastAsia="ru-RU"/>
        </w:rPr>
        <w:t>4</w:t>
      </w:r>
      <w:r w:rsidRPr="004A3DEF">
        <w:rPr>
          <w:rFonts w:eastAsia="Times New Roman" w:cs="Times New Roman"/>
          <w:szCs w:val="28"/>
          <w:lang w:val="kk-KZ" w:eastAsia="ru-RU"/>
        </w:rPr>
        <w:t>», ТОО «Д</w:t>
      </w:r>
      <w:r w:rsidR="002A5809" w:rsidRPr="002A5809">
        <w:rPr>
          <w:rFonts w:eastAsia="Times New Roman" w:cs="Times New Roman"/>
          <w:szCs w:val="28"/>
          <w:lang w:val="ru-RU" w:eastAsia="ru-RU"/>
        </w:rPr>
        <w:t>3</w:t>
      </w:r>
      <w:r w:rsidRPr="004A3DEF">
        <w:rPr>
          <w:rFonts w:eastAsia="Times New Roman" w:cs="Times New Roman"/>
          <w:szCs w:val="28"/>
          <w:lang w:val="kk-KZ" w:eastAsia="ru-RU"/>
        </w:rPr>
        <w:t xml:space="preserve">») на сумму 45 855,3 тыс.тенге, при этом наименьшая сумма НДС составляет 8 690,8 тыс.тенге. </w:t>
      </w:r>
    </w:p>
    <w:p w14:paraId="09F58B68" w14:textId="77777777" w:rsidR="004A3DEF" w:rsidRPr="004A3DEF" w:rsidRDefault="004A3DEF" w:rsidP="004A3DEF">
      <w:pPr>
        <w:pStyle w:val="a4"/>
        <w:widowControl w:val="0"/>
        <w:pBdr>
          <w:bottom w:val="single" w:sz="4" w:space="31" w:color="FFFFFF"/>
        </w:pBdr>
        <w:tabs>
          <w:tab w:val="left" w:pos="0"/>
        </w:tabs>
        <w:ind w:right="140" w:firstLine="709"/>
        <w:contextualSpacing/>
        <w:jc w:val="both"/>
        <w:rPr>
          <w:rFonts w:eastAsia="Times New Roman" w:cs="Times New Roman"/>
          <w:szCs w:val="28"/>
          <w:lang w:val="kk-KZ" w:eastAsia="ru-RU"/>
        </w:rPr>
      </w:pPr>
      <w:r w:rsidRPr="004A3DEF">
        <w:rPr>
          <w:rFonts w:eastAsia="Times New Roman" w:cs="Times New Roman"/>
          <w:szCs w:val="28"/>
          <w:lang w:val="kk-KZ" w:eastAsia="ru-RU"/>
        </w:rPr>
        <w:t xml:space="preserve">Соответственно, по акту проверки не подтверждено к возврату превышение НДС в связи с наличием нарушений, выявленных в результате применения СУР, в сумме 4 774,8 тыс.тенге. </w:t>
      </w:r>
    </w:p>
    <w:p w14:paraId="2BF1C7F5" w14:textId="77777777" w:rsidR="004A3DEF" w:rsidRPr="004A3DEF" w:rsidRDefault="004A3DEF" w:rsidP="004A3DEF">
      <w:pPr>
        <w:pStyle w:val="a4"/>
        <w:widowControl w:val="0"/>
        <w:pBdr>
          <w:bottom w:val="single" w:sz="4" w:space="31" w:color="FFFFFF"/>
        </w:pBdr>
        <w:tabs>
          <w:tab w:val="left" w:pos="0"/>
        </w:tabs>
        <w:ind w:right="140" w:firstLine="709"/>
        <w:contextualSpacing/>
        <w:jc w:val="both"/>
        <w:rPr>
          <w:rFonts w:eastAsia="Times New Roman" w:cs="Times New Roman"/>
          <w:szCs w:val="28"/>
          <w:lang w:val="kk-KZ" w:eastAsia="ru-RU"/>
        </w:rPr>
      </w:pPr>
      <w:r w:rsidRPr="004A3DEF">
        <w:rPr>
          <w:rFonts w:eastAsia="Times New Roman" w:cs="Times New Roman"/>
          <w:szCs w:val="28"/>
          <w:lang w:val="kk-KZ" w:eastAsia="ru-RU"/>
        </w:rPr>
        <w:t>Как указано выше, согласно пункту 52 Правил №391 при выявлении по результатам аналитического отчета «Пирамида» у поставщиков товаров, работ, услуг нарушений налогового законодательства, подтверждение достоверности суммы превышения НДС, производится в пределах сумм, указанных в требовании и (или) в налоговом заявлении, уменьшенных на суммы превышения НДС, приходящиеся на поставщиков товаров, работ, услуг, у которых установлены нарушения налогового законодательства, учитывая следующие факты, но не ограничиваясь ими в том числе, расхождения между сведениями, отраженными в налоговой отчетности по НДС у поставщика и (или) сведениями ИС ЭСФ и других ИС ОГД.</w:t>
      </w:r>
    </w:p>
    <w:p w14:paraId="1CE3AF4C" w14:textId="78D26CE9" w:rsidR="00B820DA" w:rsidRDefault="004A3DEF" w:rsidP="00BB07C5">
      <w:pPr>
        <w:pStyle w:val="a4"/>
        <w:widowControl w:val="0"/>
        <w:pBdr>
          <w:bottom w:val="single" w:sz="4" w:space="31" w:color="FFFFFF"/>
        </w:pBdr>
        <w:tabs>
          <w:tab w:val="left" w:pos="0"/>
        </w:tabs>
        <w:ind w:right="140" w:firstLine="709"/>
        <w:contextualSpacing/>
        <w:jc w:val="both"/>
        <w:rPr>
          <w:rFonts w:cs="Times New Roman"/>
          <w:szCs w:val="28"/>
          <w:lang w:val="ru-RU"/>
        </w:rPr>
      </w:pPr>
      <w:r w:rsidRPr="004A3DEF">
        <w:rPr>
          <w:rFonts w:eastAsia="Times New Roman" w:cs="Times New Roman"/>
          <w:szCs w:val="28"/>
          <w:lang w:val="kk-KZ" w:eastAsia="ru-RU"/>
        </w:rPr>
        <w:t xml:space="preserve">Таким образом, учитывая норму статьи 152 Налогового кодекса и Правил №391, неподтверждение к возврату превышение НДС в сумме 4 774,8 тыс.тенге </w:t>
      </w:r>
      <w:r w:rsidRPr="004A3DEF">
        <w:rPr>
          <w:rFonts w:eastAsia="Times New Roman" w:cs="Times New Roman"/>
          <w:szCs w:val="28"/>
          <w:lang w:val="kk-KZ" w:eastAsia="ru-RU"/>
        </w:rPr>
        <w:lastRenderedPageBreak/>
        <w:t>в связи с выявленными нарушениями в результате применения СУР у поставщиков последующих уровней по результатам налоговой проверки является обоснованным.</w:t>
      </w:r>
    </w:p>
    <w:p w14:paraId="3BA910BE" w14:textId="366833ED" w:rsidR="00BB07C5" w:rsidRDefault="00BB07C5" w:rsidP="00BB07C5">
      <w:pPr>
        <w:pStyle w:val="a4"/>
        <w:widowControl w:val="0"/>
        <w:pBdr>
          <w:bottom w:val="single" w:sz="4" w:space="31" w:color="FFFFFF"/>
        </w:pBdr>
        <w:tabs>
          <w:tab w:val="left" w:pos="0"/>
        </w:tabs>
        <w:ind w:right="140" w:firstLine="709"/>
        <w:contextualSpacing/>
        <w:jc w:val="both"/>
        <w:rPr>
          <w:szCs w:val="28"/>
        </w:rPr>
      </w:pPr>
      <w:r>
        <w:rPr>
          <w:szCs w:val="28"/>
        </w:rPr>
        <w:t xml:space="preserve">По результатам заседания Апелляционной комиссии, принято решение – </w:t>
      </w:r>
      <w:r w:rsidRPr="00BB07C5">
        <w:rPr>
          <w:bCs/>
          <w:szCs w:val="28"/>
        </w:rPr>
        <w:t>оставить обжалуемое уведомление о результатах проверки</w:t>
      </w:r>
      <w:r>
        <w:rPr>
          <w:bCs/>
          <w:szCs w:val="28"/>
          <w:lang w:val="ru-RU"/>
        </w:rPr>
        <w:t xml:space="preserve"> </w:t>
      </w:r>
      <w:r w:rsidRPr="00BB07C5">
        <w:rPr>
          <w:bCs/>
          <w:szCs w:val="28"/>
        </w:rPr>
        <w:t>Департамента государственных доходов</w:t>
      </w:r>
      <w:r>
        <w:rPr>
          <w:bCs/>
          <w:szCs w:val="28"/>
          <w:lang w:val="ru-RU"/>
        </w:rPr>
        <w:t xml:space="preserve"> </w:t>
      </w:r>
      <w:r w:rsidRPr="00BB07C5">
        <w:rPr>
          <w:bCs/>
          <w:szCs w:val="28"/>
        </w:rPr>
        <w:t>без изменения, а жалобу без удовлетворения.</w:t>
      </w:r>
    </w:p>
    <w:p w14:paraId="386B5A02" w14:textId="30C5AC1B" w:rsidR="00BB07C5" w:rsidRPr="00BB07C5" w:rsidRDefault="00BB07C5" w:rsidP="00BB07C5">
      <w:pPr>
        <w:pStyle w:val="a4"/>
        <w:widowControl w:val="0"/>
        <w:pBdr>
          <w:bottom w:val="single" w:sz="4" w:space="31" w:color="FFFFFF"/>
        </w:pBdr>
        <w:tabs>
          <w:tab w:val="left" w:pos="0"/>
        </w:tabs>
        <w:ind w:right="140" w:firstLine="709"/>
        <w:contextualSpacing/>
        <w:jc w:val="both"/>
        <w:rPr>
          <w:rFonts w:cs="Times New Roman"/>
          <w:szCs w:val="28"/>
          <w:lang w:val="ru-RU"/>
        </w:rPr>
      </w:pPr>
    </w:p>
    <w:p w14:paraId="5FCFCD0A" w14:textId="41F9E667" w:rsidR="00B820DA" w:rsidRDefault="00B820DA" w:rsidP="006033D6">
      <w:pPr>
        <w:pStyle w:val="a4"/>
        <w:widowControl w:val="0"/>
        <w:pBdr>
          <w:bottom w:val="single" w:sz="4" w:space="31" w:color="FFFFFF"/>
        </w:pBdr>
        <w:tabs>
          <w:tab w:val="left" w:pos="0"/>
        </w:tabs>
        <w:ind w:right="140" w:firstLine="709"/>
        <w:contextualSpacing/>
        <w:jc w:val="both"/>
        <w:rPr>
          <w:rFonts w:cs="Times New Roman"/>
          <w:szCs w:val="28"/>
        </w:rPr>
      </w:pPr>
    </w:p>
    <w:p w14:paraId="6FCC683C" w14:textId="5A6081B1" w:rsidR="00B820DA" w:rsidRPr="00B820DA" w:rsidRDefault="00B820DA" w:rsidP="00B820DA">
      <w:pPr>
        <w:pStyle w:val="a4"/>
        <w:widowControl w:val="0"/>
        <w:pBdr>
          <w:bottom w:val="single" w:sz="4" w:space="31" w:color="FFFFFF"/>
        </w:pBdr>
        <w:tabs>
          <w:tab w:val="left" w:pos="0"/>
        </w:tabs>
        <w:ind w:right="140" w:firstLine="709"/>
        <w:contextualSpacing/>
        <w:jc w:val="both"/>
        <w:rPr>
          <w:rFonts w:cs="Times New Roman"/>
          <w:szCs w:val="28"/>
        </w:rPr>
      </w:pPr>
    </w:p>
    <w:p w14:paraId="2B08DB3B" w14:textId="5587018E" w:rsidR="00B820DA" w:rsidRPr="009F5648" w:rsidRDefault="00B820DA" w:rsidP="00B820DA">
      <w:pPr>
        <w:pStyle w:val="a4"/>
        <w:widowControl w:val="0"/>
        <w:pBdr>
          <w:bottom w:val="single" w:sz="4" w:space="31" w:color="FFFFFF"/>
        </w:pBdr>
        <w:tabs>
          <w:tab w:val="left" w:pos="0"/>
        </w:tabs>
        <w:ind w:right="140" w:firstLine="709"/>
        <w:contextualSpacing/>
        <w:jc w:val="both"/>
        <w:rPr>
          <w:rFonts w:cs="Times New Roman"/>
          <w:szCs w:val="28"/>
        </w:rPr>
      </w:pPr>
    </w:p>
    <w:p w14:paraId="58FA7D68" w14:textId="77777777" w:rsidR="00081A4F" w:rsidRPr="00371C15" w:rsidRDefault="00081A4F" w:rsidP="00371C15">
      <w:pPr>
        <w:pStyle w:val="a4"/>
        <w:widowControl w:val="0"/>
        <w:pBdr>
          <w:bottom w:val="single" w:sz="4" w:space="31" w:color="FFFFFF"/>
        </w:pBdr>
        <w:tabs>
          <w:tab w:val="left" w:pos="0"/>
        </w:tabs>
        <w:ind w:right="140" w:firstLine="709"/>
        <w:contextualSpacing/>
        <w:jc w:val="both"/>
        <w:rPr>
          <w:rFonts w:cs="Times New Roman"/>
          <w:szCs w:val="28"/>
        </w:rPr>
      </w:pPr>
    </w:p>
    <w:sectPr w:rsidR="00081A4F" w:rsidRPr="00371C15" w:rsidSect="00821C11">
      <w:headerReference w:type="default" r:id="rId8"/>
      <w:pgSz w:w="11906" w:h="16838"/>
      <w:pgMar w:top="851" w:right="849" w:bottom="1135" w:left="141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6F9B8" w14:textId="77777777" w:rsidR="001877BE" w:rsidRDefault="001877BE" w:rsidP="009B2AB6">
      <w:pPr>
        <w:spacing w:after="0" w:line="240" w:lineRule="auto"/>
      </w:pPr>
      <w:r>
        <w:separator/>
      </w:r>
    </w:p>
  </w:endnote>
  <w:endnote w:type="continuationSeparator" w:id="0">
    <w:p w14:paraId="5BC7595F" w14:textId="77777777" w:rsidR="001877BE" w:rsidRDefault="001877BE" w:rsidP="009B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00FD3" w14:textId="77777777" w:rsidR="001877BE" w:rsidRDefault="001877BE" w:rsidP="009B2AB6">
      <w:pPr>
        <w:spacing w:after="0" w:line="240" w:lineRule="auto"/>
      </w:pPr>
      <w:r>
        <w:separator/>
      </w:r>
    </w:p>
  </w:footnote>
  <w:footnote w:type="continuationSeparator" w:id="0">
    <w:p w14:paraId="7517E2ED" w14:textId="77777777" w:rsidR="001877BE" w:rsidRDefault="001877BE" w:rsidP="009B2A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488429"/>
      <w:docPartObj>
        <w:docPartGallery w:val="Page Numbers (Top of Page)"/>
        <w:docPartUnique/>
      </w:docPartObj>
    </w:sdtPr>
    <w:sdtEndPr/>
    <w:sdtContent>
      <w:p w14:paraId="40544BBC" w14:textId="77777777" w:rsidR="00911D8F" w:rsidRDefault="00911D8F">
        <w:pPr>
          <w:pStyle w:val="a8"/>
          <w:jc w:val="center"/>
        </w:pPr>
        <w:r>
          <w:fldChar w:fldCharType="begin"/>
        </w:r>
        <w:r>
          <w:instrText>PAGE   \* MERGEFORMAT</w:instrText>
        </w:r>
        <w:r>
          <w:fldChar w:fldCharType="separate"/>
        </w:r>
        <w:r w:rsidR="00AF35E1">
          <w:rPr>
            <w:noProof/>
          </w:rPr>
          <w:t>5</w:t>
        </w:r>
        <w:r>
          <w:fldChar w:fldCharType="end"/>
        </w:r>
      </w:p>
    </w:sdtContent>
  </w:sdt>
  <w:p w14:paraId="7CEA30C1" w14:textId="77777777" w:rsidR="00911D8F" w:rsidRDefault="00911D8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76C06"/>
    <w:multiLevelType w:val="hybridMultilevel"/>
    <w:tmpl w:val="25220CE6"/>
    <w:lvl w:ilvl="0" w:tplc="FF2CCD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1AD6E69"/>
    <w:multiLevelType w:val="hybridMultilevel"/>
    <w:tmpl w:val="F1B41E60"/>
    <w:lvl w:ilvl="0" w:tplc="FA52DF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hideGrammaticalErrors/>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3E3"/>
    <w:rsid w:val="000144D6"/>
    <w:rsid w:val="00023C63"/>
    <w:rsid w:val="0003295A"/>
    <w:rsid w:val="00033356"/>
    <w:rsid w:val="00037208"/>
    <w:rsid w:val="00045748"/>
    <w:rsid w:val="00047FE7"/>
    <w:rsid w:val="000559F8"/>
    <w:rsid w:val="00065926"/>
    <w:rsid w:val="00066813"/>
    <w:rsid w:val="00072F0F"/>
    <w:rsid w:val="00081A4F"/>
    <w:rsid w:val="000847DC"/>
    <w:rsid w:val="00084BB3"/>
    <w:rsid w:val="00086FDE"/>
    <w:rsid w:val="000A2908"/>
    <w:rsid w:val="000B25B8"/>
    <w:rsid w:val="000C00A2"/>
    <w:rsid w:val="000C7919"/>
    <w:rsid w:val="000E203C"/>
    <w:rsid w:val="000F706C"/>
    <w:rsid w:val="00116829"/>
    <w:rsid w:val="001225AF"/>
    <w:rsid w:val="00133C39"/>
    <w:rsid w:val="00135574"/>
    <w:rsid w:val="00160063"/>
    <w:rsid w:val="00163036"/>
    <w:rsid w:val="00165CA6"/>
    <w:rsid w:val="00170EC8"/>
    <w:rsid w:val="0017367F"/>
    <w:rsid w:val="001877BE"/>
    <w:rsid w:val="0019561F"/>
    <w:rsid w:val="001968AA"/>
    <w:rsid w:val="001B0E24"/>
    <w:rsid w:val="001B5031"/>
    <w:rsid w:val="001D03E0"/>
    <w:rsid w:val="001D1B77"/>
    <w:rsid w:val="001D2A95"/>
    <w:rsid w:val="001D53E7"/>
    <w:rsid w:val="001E514C"/>
    <w:rsid w:val="001E669A"/>
    <w:rsid w:val="001F29D8"/>
    <w:rsid w:val="001F3F1A"/>
    <w:rsid w:val="001F46A5"/>
    <w:rsid w:val="00211B22"/>
    <w:rsid w:val="002134B1"/>
    <w:rsid w:val="00226E70"/>
    <w:rsid w:val="00244865"/>
    <w:rsid w:val="00255511"/>
    <w:rsid w:val="00267650"/>
    <w:rsid w:val="00267C78"/>
    <w:rsid w:val="00275640"/>
    <w:rsid w:val="00275837"/>
    <w:rsid w:val="00285D05"/>
    <w:rsid w:val="00294BE8"/>
    <w:rsid w:val="0029539C"/>
    <w:rsid w:val="002A5809"/>
    <w:rsid w:val="002A7B20"/>
    <w:rsid w:val="002C016D"/>
    <w:rsid w:val="002D5976"/>
    <w:rsid w:val="002F284D"/>
    <w:rsid w:val="002F2F19"/>
    <w:rsid w:val="002F7681"/>
    <w:rsid w:val="00321E42"/>
    <w:rsid w:val="003278BF"/>
    <w:rsid w:val="003430B1"/>
    <w:rsid w:val="00350DD6"/>
    <w:rsid w:val="00363880"/>
    <w:rsid w:val="0036567D"/>
    <w:rsid w:val="00371C15"/>
    <w:rsid w:val="00390ED5"/>
    <w:rsid w:val="003A003E"/>
    <w:rsid w:val="003A35A6"/>
    <w:rsid w:val="003B72EA"/>
    <w:rsid w:val="003C6C61"/>
    <w:rsid w:val="003D14D4"/>
    <w:rsid w:val="003E088C"/>
    <w:rsid w:val="003E2413"/>
    <w:rsid w:val="00417CB0"/>
    <w:rsid w:val="0042132B"/>
    <w:rsid w:val="00434EF2"/>
    <w:rsid w:val="004360C3"/>
    <w:rsid w:val="00443061"/>
    <w:rsid w:val="00453A81"/>
    <w:rsid w:val="00456B8C"/>
    <w:rsid w:val="004671BD"/>
    <w:rsid w:val="0048381E"/>
    <w:rsid w:val="00492EE4"/>
    <w:rsid w:val="004A1C8D"/>
    <w:rsid w:val="004A3DEF"/>
    <w:rsid w:val="004A65AB"/>
    <w:rsid w:val="004A747E"/>
    <w:rsid w:val="004B4A06"/>
    <w:rsid w:val="004B5D40"/>
    <w:rsid w:val="004B5F16"/>
    <w:rsid w:val="004B6208"/>
    <w:rsid w:val="004B6231"/>
    <w:rsid w:val="004C0023"/>
    <w:rsid w:val="004E30D9"/>
    <w:rsid w:val="004F6AFE"/>
    <w:rsid w:val="004F73E3"/>
    <w:rsid w:val="0051140D"/>
    <w:rsid w:val="005237F9"/>
    <w:rsid w:val="005238D8"/>
    <w:rsid w:val="005247AE"/>
    <w:rsid w:val="00534E48"/>
    <w:rsid w:val="005360EB"/>
    <w:rsid w:val="0053644E"/>
    <w:rsid w:val="00553C5E"/>
    <w:rsid w:val="005649AE"/>
    <w:rsid w:val="00567A84"/>
    <w:rsid w:val="005776E9"/>
    <w:rsid w:val="00577A52"/>
    <w:rsid w:val="005822F7"/>
    <w:rsid w:val="00585100"/>
    <w:rsid w:val="005B2559"/>
    <w:rsid w:val="005C6CF4"/>
    <w:rsid w:val="005D35D3"/>
    <w:rsid w:val="005D4242"/>
    <w:rsid w:val="005D4814"/>
    <w:rsid w:val="005D5435"/>
    <w:rsid w:val="005D5B0E"/>
    <w:rsid w:val="005D6078"/>
    <w:rsid w:val="005E45F7"/>
    <w:rsid w:val="005E4B64"/>
    <w:rsid w:val="005F48C7"/>
    <w:rsid w:val="00600AA0"/>
    <w:rsid w:val="006033D6"/>
    <w:rsid w:val="0060414C"/>
    <w:rsid w:val="00606A1C"/>
    <w:rsid w:val="00607DF5"/>
    <w:rsid w:val="00610A80"/>
    <w:rsid w:val="006119E2"/>
    <w:rsid w:val="0061270D"/>
    <w:rsid w:val="00615C62"/>
    <w:rsid w:val="00620F55"/>
    <w:rsid w:val="00630925"/>
    <w:rsid w:val="0063407C"/>
    <w:rsid w:val="00637428"/>
    <w:rsid w:val="0064338B"/>
    <w:rsid w:val="00647C5C"/>
    <w:rsid w:val="006535EB"/>
    <w:rsid w:val="00654198"/>
    <w:rsid w:val="006603A4"/>
    <w:rsid w:val="006705F8"/>
    <w:rsid w:val="00690DD6"/>
    <w:rsid w:val="00693D1B"/>
    <w:rsid w:val="00694899"/>
    <w:rsid w:val="006A0AA7"/>
    <w:rsid w:val="006A696D"/>
    <w:rsid w:val="006A7019"/>
    <w:rsid w:val="006B26A9"/>
    <w:rsid w:val="006B585F"/>
    <w:rsid w:val="006C5B9C"/>
    <w:rsid w:val="006D4D06"/>
    <w:rsid w:val="006E65EC"/>
    <w:rsid w:val="0070133C"/>
    <w:rsid w:val="00701633"/>
    <w:rsid w:val="0070719B"/>
    <w:rsid w:val="0071138C"/>
    <w:rsid w:val="00712A6D"/>
    <w:rsid w:val="00730426"/>
    <w:rsid w:val="0075087F"/>
    <w:rsid w:val="00757933"/>
    <w:rsid w:val="00762F06"/>
    <w:rsid w:val="00762F7E"/>
    <w:rsid w:val="00774293"/>
    <w:rsid w:val="00786292"/>
    <w:rsid w:val="00791C21"/>
    <w:rsid w:val="00797DD5"/>
    <w:rsid w:val="007D5D49"/>
    <w:rsid w:val="007F56BB"/>
    <w:rsid w:val="00810055"/>
    <w:rsid w:val="008144DC"/>
    <w:rsid w:val="008155F5"/>
    <w:rsid w:val="008204F5"/>
    <w:rsid w:val="00821C11"/>
    <w:rsid w:val="008232C0"/>
    <w:rsid w:val="0083005F"/>
    <w:rsid w:val="00842A60"/>
    <w:rsid w:val="00846EDD"/>
    <w:rsid w:val="0085001B"/>
    <w:rsid w:val="0085011D"/>
    <w:rsid w:val="00851D69"/>
    <w:rsid w:val="0085398B"/>
    <w:rsid w:val="008549FF"/>
    <w:rsid w:val="00880708"/>
    <w:rsid w:val="008859D4"/>
    <w:rsid w:val="00886326"/>
    <w:rsid w:val="008948F0"/>
    <w:rsid w:val="00894A98"/>
    <w:rsid w:val="008A0D0B"/>
    <w:rsid w:val="008B383A"/>
    <w:rsid w:val="008C35A4"/>
    <w:rsid w:val="008E02BA"/>
    <w:rsid w:val="008E30E0"/>
    <w:rsid w:val="008E715A"/>
    <w:rsid w:val="008F2A2B"/>
    <w:rsid w:val="008F7D7E"/>
    <w:rsid w:val="009039B7"/>
    <w:rsid w:val="00911A52"/>
    <w:rsid w:val="00911D8F"/>
    <w:rsid w:val="0091323B"/>
    <w:rsid w:val="00921DF4"/>
    <w:rsid w:val="009276CA"/>
    <w:rsid w:val="00962A80"/>
    <w:rsid w:val="00962BC8"/>
    <w:rsid w:val="00984DF3"/>
    <w:rsid w:val="00995063"/>
    <w:rsid w:val="009B0B76"/>
    <w:rsid w:val="009B242C"/>
    <w:rsid w:val="009B2AB6"/>
    <w:rsid w:val="009D0272"/>
    <w:rsid w:val="009D27DA"/>
    <w:rsid w:val="009D37CD"/>
    <w:rsid w:val="009D4ACB"/>
    <w:rsid w:val="009D641C"/>
    <w:rsid w:val="009D6C12"/>
    <w:rsid w:val="009F2302"/>
    <w:rsid w:val="009F5189"/>
    <w:rsid w:val="009F5648"/>
    <w:rsid w:val="00A010BC"/>
    <w:rsid w:val="00A0184C"/>
    <w:rsid w:val="00A062C9"/>
    <w:rsid w:val="00A101BB"/>
    <w:rsid w:val="00A14A06"/>
    <w:rsid w:val="00A222F0"/>
    <w:rsid w:val="00A27033"/>
    <w:rsid w:val="00A372AD"/>
    <w:rsid w:val="00A37715"/>
    <w:rsid w:val="00A42BB2"/>
    <w:rsid w:val="00A53C2C"/>
    <w:rsid w:val="00A56435"/>
    <w:rsid w:val="00A56533"/>
    <w:rsid w:val="00A64DEA"/>
    <w:rsid w:val="00A677B5"/>
    <w:rsid w:val="00A72859"/>
    <w:rsid w:val="00A92BA8"/>
    <w:rsid w:val="00AA674D"/>
    <w:rsid w:val="00AB7F9C"/>
    <w:rsid w:val="00AC13AB"/>
    <w:rsid w:val="00AC605F"/>
    <w:rsid w:val="00AD3D3C"/>
    <w:rsid w:val="00AD45A5"/>
    <w:rsid w:val="00AD4DE0"/>
    <w:rsid w:val="00AD5F92"/>
    <w:rsid w:val="00AD6D08"/>
    <w:rsid w:val="00AE3FA8"/>
    <w:rsid w:val="00AE41FB"/>
    <w:rsid w:val="00AF35E1"/>
    <w:rsid w:val="00AF70BB"/>
    <w:rsid w:val="00B03294"/>
    <w:rsid w:val="00B14146"/>
    <w:rsid w:val="00B24836"/>
    <w:rsid w:val="00B249BC"/>
    <w:rsid w:val="00B26E89"/>
    <w:rsid w:val="00B2748F"/>
    <w:rsid w:val="00B524CF"/>
    <w:rsid w:val="00B75ABD"/>
    <w:rsid w:val="00B778D7"/>
    <w:rsid w:val="00B819E0"/>
    <w:rsid w:val="00B820DA"/>
    <w:rsid w:val="00B8537B"/>
    <w:rsid w:val="00B86F23"/>
    <w:rsid w:val="00B90F0F"/>
    <w:rsid w:val="00B9443C"/>
    <w:rsid w:val="00BB023F"/>
    <w:rsid w:val="00BB07C5"/>
    <w:rsid w:val="00BD5F50"/>
    <w:rsid w:val="00BE375B"/>
    <w:rsid w:val="00BF43C7"/>
    <w:rsid w:val="00C30FA1"/>
    <w:rsid w:val="00C4456E"/>
    <w:rsid w:val="00C52563"/>
    <w:rsid w:val="00C57D49"/>
    <w:rsid w:val="00C62C0E"/>
    <w:rsid w:val="00C72135"/>
    <w:rsid w:val="00C8669A"/>
    <w:rsid w:val="00CA1788"/>
    <w:rsid w:val="00CA7454"/>
    <w:rsid w:val="00CB089D"/>
    <w:rsid w:val="00CD300C"/>
    <w:rsid w:val="00CE239F"/>
    <w:rsid w:val="00CE632F"/>
    <w:rsid w:val="00CF491C"/>
    <w:rsid w:val="00D0616E"/>
    <w:rsid w:val="00D146E2"/>
    <w:rsid w:val="00D26D6E"/>
    <w:rsid w:val="00D27534"/>
    <w:rsid w:val="00D3619E"/>
    <w:rsid w:val="00D44D15"/>
    <w:rsid w:val="00D47E44"/>
    <w:rsid w:val="00D578A4"/>
    <w:rsid w:val="00D62887"/>
    <w:rsid w:val="00D931EE"/>
    <w:rsid w:val="00DA204F"/>
    <w:rsid w:val="00DA3C92"/>
    <w:rsid w:val="00DB4158"/>
    <w:rsid w:val="00DC2EF9"/>
    <w:rsid w:val="00DC64D3"/>
    <w:rsid w:val="00DD523C"/>
    <w:rsid w:val="00DD789A"/>
    <w:rsid w:val="00DE2531"/>
    <w:rsid w:val="00DE30FC"/>
    <w:rsid w:val="00DE5225"/>
    <w:rsid w:val="00DF090B"/>
    <w:rsid w:val="00DF2CF7"/>
    <w:rsid w:val="00DF3E4A"/>
    <w:rsid w:val="00E00B09"/>
    <w:rsid w:val="00E0294B"/>
    <w:rsid w:val="00E03045"/>
    <w:rsid w:val="00E055C2"/>
    <w:rsid w:val="00E056C0"/>
    <w:rsid w:val="00E100D4"/>
    <w:rsid w:val="00E12D4F"/>
    <w:rsid w:val="00E17844"/>
    <w:rsid w:val="00E20BB6"/>
    <w:rsid w:val="00E76CBF"/>
    <w:rsid w:val="00E772CE"/>
    <w:rsid w:val="00E96EB1"/>
    <w:rsid w:val="00E9761E"/>
    <w:rsid w:val="00ED04C1"/>
    <w:rsid w:val="00ED1753"/>
    <w:rsid w:val="00ED4825"/>
    <w:rsid w:val="00ED7603"/>
    <w:rsid w:val="00ED7F67"/>
    <w:rsid w:val="00EE5C3F"/>
    <w:rsid w:val="00EF21C3"/>
    <w:rsid w:val="00F00FCF"/>
    <w:rsid w:val="00F01E1B"/>
    <w:rsid w:val="00F03911"/>
    <w:rsid w:val="00F11DE5"/>
    <w:rsid w:val="00F25D41"/>
    <w:rsid w:val="00F31717"/>
    <w:rsid w:val="00F31995"/>
    <w:rsid w:val="00F84539"/>
    <w:rsid w:val="00F940F0"/>
    <w:rsid w:val="00FA324D"/>
    <w:rsid w:val="00FC08F5"/>
    <w:rsid w:val="00FC464F"/>
    <w:rsid w:val="00FC7C73"/>
    <w:rsid w:val="00FE4607"/>
    <w:rsid w:val="00FE4911"/>
    <w:rsid w:val="00FE7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D4D7"/>
  <w15:docId w15:val="{CC4AD0B2-9039-4662-AB28-4FF9BF98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5A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Обычный (Web)1 Знак,Обычный (Web)11 Знак,Знак4 Знак,Обычный (веб)1 Знак,Знак Знак2 Знак,Обычный (веб) Знак1 Знак,Обычный (веб) Знак Знак1 Знак,Обычный (веб) Знак Знак Знак Знак1,Знак Знак1 Знак Знак Знак"/>
    <w:link w:val="a4"/>
    <w:qFormat/>
    <w:locked/>
    <w:rsid w:val="00211B22"/>
    <w:rPr>
      <w:rFonts w:ascii="Times New Roman" w:hAnsi="Times New Roman"/>
      <w:sz w:val="28"/>
      <w:szCs w:val="24"/>
      <w:lang w:val="x-none" w:eastAsia="x-none"/>
    </w:rPr>
  </w:style>
  <w:style w:type="paragraph" w:styleId="a4">
    <w:name w:val="Normal (Web)"/>
    <w:aliases w:val="Обычный (Web),Обычный (Web)1,Обычный (Web)11,Знак4,Обычный (веб)1,Знак Знак2,Обычный (веб) Знак1,Обычный (веб) Знак Знак1,Обычный (веб) Знак Знак Знак,Знак Знак1 Знак Знак,Обычный (веб) Знак Знак Знак Знак,Обычный (веб) Знак Знак"/>
    <w:link w:val="a3"/>
    <w:unhideWhenUsed/>
    <w:qFormat/>
    <w:rsid w:val="00211B22"/>
    <w:pPr>
      <w:spacing w:after="0" w:line="240" w:lineRule="auto"/>
    </w:pPr>
    <w:rPr>
      <w:rFonts w:ascii="Times New Roman" w:hAnsi="Times New Roman"/>
      <w:sz w:val="28"/>
      <w:szCs w:val="24"/>
      <w:lang w:val="x-none" w:eastAsia="x-none"/>
    </w:rPr>
  </w:style>
  <w:style w:type="paragraph" w:customStyle="1" w:styleId="pmsonormal">
    <w:name w:val="pmsonormal"/>
    <w:basedOn w:val="a"/>
    <w:rsid w:val="008C35A4"/>
    <w:pPr>
      <w:spacing w:after="0" w:line="280" w:lineRule="auto"/>
      <w:ind w:left="567"/>
      <w:jc w:val="both"/>
    </w:pPr>
    <w:rPr>
      <w:rFonts w:ascii="Times New Roman" w:eastAsia="Times New Roman" w:hAnsi="Times New Roman"/>
      <w:sz w:val="24"/>
      <w:szCs w:val="24"/>
      <w:lang w:eastAsia="ru-RU"/>
    </w:rPr>
  </w:style>
  <w:style w:type="character" w:styleId="a5">
    <w:name w:val="Hyperlink"/>
    <w:basedOn w:val="a0"/>
    <w:uiPriority w:val="99"/>
    <w:unhideWhenUsed/>
    <w:rsid w:val="00FC464F"/>
    <w:rPr>
      <w:color w:val="0563C1" w:themeColor="hyperlink"/>
      <w:u w:val="single"/>
    </w:rPr>
  </w:style>
  <w:style w:type="character" w:customStyle="1" w:styleId="5">
    <w:name w:val="Основной текст (5)_"/>
    <w:basedOn w:val="a0"/>
    <w:link w:val="50"/>
    <w:rsid w:val="004B6208"/>
    <w:rPr>
      <w:rFonts w:ascii="Times New Roman" w:eastAsia="Times New Roman" w:hAnsi="Times New Roman" w:cs="Times New Roman"/>
      <w:sz w:val="28"/>
      <w:szCs w:val="28"/>
      <w:shd w:val="clear" w:color="auto" w:fill="FFFFFF"/>
    </w:rPr>
  </w:style>
  <w:style w:type="paragraph" w:customStyle="1" w:styleId="50">
    <w:name w:val="Основной текст (5)"/>
    <w:basedOn w:val="a"/>
    <w:link w:val="5"/>
    <w:rsid w:val="004B6208"/>
    <w:pPr>
      <w:widowControl w:val="0"/>
      <w:shd w:val="clear" w:color="auto" w:fill="FFFFFF"/>
      <w:spacing w:after="900" w:line="0" w:lineRule="atLeast"/>
      <w:jc w:val="both"/>
    </w:pPr>
    <w:rPr>
      <w:rFonts w:ascii="Times New Roman" w:eastAsia="Times New Roman" w:hAnsi="Times New Roman"/>
      <w:sz w:val="28"/>
      <w:szCs w:val="28"/>
    </w:rPr>
  </w:style>
  <w:style w:type="paragraph" w:styleId="a6">
    <w:name w:val="Balloon Text"/>
    <w:basedOn w:val="a"/>
    <w:link w:val="a7"/>
    <w:uiPriority w:val="99"/>
    <w:semiHidden/>
    <w:unhideWhenUsed/>
    <w:rsid w:val="0003335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33356"/>
    <w:rPr>
      <w:rFonts w:ascii="Segoe UI" w:eastAsia="Calibri" w:hAnsi="Segoe UI" w:cs="Segoe UI"/>
      <w:sz w:val="18"/>
      <w:szCs w:val="18"/>
    </w:rPr>
  </w:style>
  <w:style w:type="paragraph" w:styleId="a8">
    <w:name w:val="header"/>
    <w:basedOn w:val="a"/>
    <w:link w:val="a9"/>
    <w:uiPriority w:val="99"/>
    <w:unhideWhenUsed/>
    <w:rsid w:val="009B2AB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B2AB6"/>
    <w:rPr>
      <w:rFonts w:ascii="Calibri" w:eastAsia="Calibri" w:hAnsi="Calibri" w:cs="Times New Roman"/>
    </w:rPr>
  </w:style>
  <w:style w:type="paragraph" w:styleId="aa">
    <w:name w:val="footer"/>
    <w:basedOn w:val="a"/>
    <w:link w:val="ab"/>
    <w:uiPriority w:val="99"/>
    <w:unhideWhenUsed/>
    <w:rsid w:val="009B2AB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B2AB6"/>
    <w:rPr>
      <w:rFonts w:ascii="Calibri" w:eastAsia="Calibri" w:hAnsi="Calibri" w:cs="Times New Roman"/>
    </w:rPr>
  </w:style>
  <w:style w:type="paragraph" w:styleId="ac">
    <w:name w:val="List Paragraph"/>
    <w:basedOn w:val="a"/>
    <w:uiPriority w:val="34"/>
    <w:qFormat/>
    <w:rsid w:val="00A677B5"/>
    <w:pPr>
      <w:spacing w:after="160" w:line="259" w:lineRule="auto"/>
      <w:ind w:left="720"/>
      <w:contextualSpacing/>
    </w:pPr>
    <w:rPr>
      <w:rFonts w:asciiTheme="minorHAnsi" w:eastAsiaTheme="minorHAnsi" w:hAnsiTheme="minorHAnsi" w:cstheme="minorBidi"/>
    </w:rPr>
  </w:style>
  <w:style w:type="paragraph" w:styleId="ad">
    <w:name w:val="No Spacing"/>
    <w:aliases w:val="мелкий,Без интервала1,мой рабочий,No Spacing,Обя,норма,Айгерим,свой,No Spacing1,14 TNR,МОЙ СТИЛЬ,Без интервала11,No Spacing_0,Без интеБез интервала,No SpaciБез интервала14,Без интервала2,Елжан,Без интервала111,No Spacing11,Без интерваль"/>
    <w:link w:val="ae"/>
    <w:uiPriority w:val="1"/>
    <w:qFormat/>
    <w:rsid w:val="008F2A2B"/>
    <w:pPr>
      <w:spacing w:after="0" w:line="240" w:lineRule="auto"/>
    </w:pPr>
    <w:rPr>
      <w:rFonts w:ascii="Calibri" w:eastAsia="Calibri" w:hAnsi="Calibri" w:cs="Times New Roman"/>
    </w:rPr>
  </w:style>
  <w:style w:type="character" w:customStyle="1" w:styleId="ae">
    <w:name w:val="Без интервала Знак"/>
    <w:aliases w:val="мелкий Знак,Без интервала1 Знак,мой рабочий Знак,No Spacing Знак,Обя Знак,норма Знак,Айгерим Знак,свой Знак,No Spacing1 Знак,14 TNR Знак,МОЙ СТИЛЬ Знак,Без интервала11 Знак,No Spacing_0 Знак,Без интеБез интервала Знак,Елжан Знак"/>
    <w:link w:val="ad"/>
    <w:uiPriority w:val="1"/>
    <w:locked/>
    <w:rsid w:val="0036567D"/>
    <w:rPr>
      <w:rFonts w:ascii="Calibri" w:eastAsia="Calibri" w:hAnsi="Calibri" w:cs="Times New Roman"/>
    </w:rPr>
  </w:style>
  <w:style w:type="character" w:customStyle="1" w:styleId="s1">
    <w:name w:val="s1"/>
    <w:rsid w:val="0036567D"/>
    <w:rPr>
      <w:rFonts w:ascii="Times New Roman" w:hAnsi="Times New Roman" w:cs="Times New Roman" w:hint="default"/>
      <w:b/>
      <w:bCs/>
      <w:color w:val="000000"/>
    </w:rPr>
  </w:style>
  <w:style w:type="character" w:customStyle="1" w:styleId="s0">
    <w:name w:val="s0"/>
    <w:qFormat/>
    <w:rsid w:val="001D2A95"/>
    <w:rPr>
      <w:color w:val="000000"/>
    </w:rPr>
  </w:style>
  <w:style w:type="character" w:customStyle="1" w:styleId="svalue1">
    <w:name w:val="svalue1"/>
    <w:basedOn w:val="a0"/>
    <w:rsid w:val="00D26D6E"/>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906626">
      <w:bodyDiv w:val="1"/>
      <w:marLeft w:val="0"/>
      <w:marRight w:val="0"/>
      <w:marTop w:val="0"/>
      <w:marBottom w:val="0"/>
      <w:divBdr>
        <w:top w:val="none" w:sz="0" w:space="0" w:color="auto"/>
        <w:left w:val="none" w:sz="0" w:space="0" w:color="auto"/>
        <w:bottom w:val="none" w:sz="0" w:space="0" w:color="auto"/>
        <w:right w:val="none" w:sz="0" w:space="0" w:color="auto"/>
      </w:divBdr>
    </w:div>
    <w:div w:id="705057744">
      <w:bodyDiv w:val="1"/>
      <w:marLeft w:val="0"/>
      <w:marRight w:val="0"/>
      <w:marTop w:val="0"/>
      <w:marBottom w:val="0"/>
      <w:divBdr>
        <w:top w:val="none" w:sz="0" w:space="0" w:color="auto"/>
        <w:left w:val="none" w:sz="0" w:space="0" w:color="auto"/>
        <w:bottom w:val="none" w:sz="0" w:space="0" w:color="auto"/>
        <w:right w:val="none" w:sz="0" w:space="0" w:color="auto"/>
      </w:divBdr>
    </w:div>
    <w:div w:id="1098794169">
      <w:bodyDiv w:val="1"/>
      <w:marLeft w:val="0"/>
      <w:marRight w:val="0"/>
      <w:marTop w:val="0"/>
      <w:marBottom w:val="0"/>
      <w:divBdr>
        <w:top w:val="none" w:sz="0" w:space="0" w:color="auto"/>
        <w:left w:val="none" w:sz="0" w:space="0" w:color="auto"/>
        <w:bottom w:val="none" w:sz="0" w:space="0" w:color="auto"/>
        <w:right w:val="none" w:sz="0" w:space="0" w:color="auto"/>
      </w:divBdr>
    </w:div>
    <w:div w:id="1490513635">
      <w:bodyDiv w:val="1"/>
      <w:marLeft w:val="0"/>
      <w:marRight w:val="0"/>
      <w:marTop w:val="0"/>
      <w:marBottom w:val="0"/>
      <w:divBdr>
        <w:top w:val="none" w:sz="0" w:space="0" w:color="auto"/>
        <w:left w:val="none" w:sz="0" w:space="0" w:color="auto"/>
        <w:bottom w:val="none" w:sz="0" w:space="0" w:color="auto"/>
        <w:right w:val="none" w:sz="0" w:space="0" w:color="auto"/>
      </w:divBdr>
    </w:div>
    <w:div w:id="18556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6F5E4-A46D-4E8D-9C58-63FD3CDE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5</Pages>
  <Words>1658</Words>
  <Characters>9452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Толеген Ерсаинович Жакаев</dc:creator>
  <cp:lastModifiedBy>Кудайбергенова Рыскелди</cp:lastModifiedBy>
  <cp:revision>25</cp:revision>
  <cp:lastPrinted>2024-10-17T06:50:00Z</cp:lastPrinted>
  <dcterms:created xsi:type="dcterms:W3CDTF">2024-10-17T06:43:00Z</dcterms:created>
  <dcterms:modified xsi:type="dcterms:W3CDTF">2025-11-21T12:08:00Z</dcterms:modified>
</cp:coreProperties>
</file>